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5820E">
      <w:pPr>
        <w:pStyle w:val="97"/>
        <w:numPr>
          <w:ilvl w:val="0"/>
          <w:numId w:val="0"/>
        </w:numPr>
        <w:spacing w:line="600" w:lineRule="exact"/>
        <w:jc w:val="center"/>
        <w:rPr>
          <w:sz w:val="32"/>
          <w:szCs w:val="32"/>
          <w:highlight w:val="none"/>
        </w:rPr>
      </w:pPr>
      <w:bookmarkStart w:id="0" w:name="_Toc180486576"/>
      <w:bookmarkStart w:id="1" w:name="_Toc141707108"/>
      <w:r>
        <w:rPr>
          <w:rFonts w:hint="eastAsia"/>
          <w:sz w:val="32"/>
          <w:szCs w:val="32"/>
          <w:highlight w:val="none"/>
        </w:rPr>
        <w:t>黄山市歙县城乡垃圾收集处理工程项目（设备部分）</w:t>
      </w:r>
    </w:p>
    <w:p w14:paraId="7133D66E">
      <w:pPr>
        <w:pStyle w:val="97"/>
        <w:numPr>
          <w:ilvl w:val="0"/>
          <w:numId w:val="0"/>
        </w:numPr>
        <w:spacing w:line="600" w:lineRule="exact"/>
        <w:jc w:val="center"/>
        <w:rPr>
          <w:sz w:val="32"/>
          <w:szCs w:val="32"/>
          <w:highlight w:val="none"/>
        </w:rPr>
      </w:pPr>
      <w:r>
        <w:rPr>
          <w:rFonts w:hint="eastAsia"/>
          <w:sz w:val="32"/>
          <w:szCs w:val="32"/>
          <w:highlight w:val="none"/>
        </w:rPr>
        <w:t>二标段（餐厨垃圾成套设备（含餐厨垃圾设备、大件园林、分拣设备）技术参数要求</w:t>
      </w:r>
    </w:p>
    <w:p w14:paraId="412A97C3">
      <w:pPr>
        <w:ind w:firstLine="0" w:firstLineChars="0"/>
        <w:jc w:val="center"/>
        <w:rPr>
          <w:highlight w:val="none"/>
        </w:rPr>
      </w:pPr>
      <w:r>
        <w:rPr>
          <w:rFonts w:hint="eastAsia"/>
          <w:b/>
          <w:bCs/>
          <w:sz w:val="32"/>
          <w:szCs w:val="32"/>
          <w:highlight w:val="none"/>
        </w:rPr>
        <w:t>第一章</w:t>
      </w:r>
      <w:r>
        <w:rPr>
          <w:rFonts w:hint="eastAsia" w:ascii="宋体" w:hAnsi="宋体"/>
          <w:b/>
          <w:bCs/>
          <w:kern w:val="44"/>
          <w:sz w:val="32"/>
          <w:szCs w:val="32"/>
          <w:highlight w:val="none"/>
        </w:rPr>
        <w:t>、餐厨垃圾成套设备技术参数要求</w:t>
      </w:r>
    </w:p>
    <w:p w14:paraId="48BAD206">
      <w:pPr>
        <w:pStyle w:val="101"/>
        <w:numPr>
          <w:ilvl w:val="1"/>
          <w:numId w:val="0"/>
        </w:numPr>
        <w:spacing w:line="480" w:lineRule="exact"/>
        <w:rPr>
          <w:highlight w:val="none"/>
        </w:rPr>
      </w:pPr>
      <w:r>
        <w:rPr>
          <w:rFonts w:hint="eastAsia"/>
          <w:highlight w:val="none"/>
        </w:rPr>
        <w:t>一、工程概况</w:t>
      </w:r>
    </w:p>
    <w:p w14:paraId="637FF71C">
      <w:pPr>
        <w:spacing w:line="480" w:lineRule="exact"/>
        <w:ind w:firstLine="480"/>
        <w:rPr>
          <w:highlight w:val="none"/>
        </w:rPr>
      </w:pPr>
      <w:r>
        <w:rPr>
          <w:rFonts w:hint="eastAsia"/>
          <w:highlight w:val="none"/>
        </w:rPr>
        <w:t>1.1项目名称：黄山市歙县城乡垃圾收集处理工程项目（设备部分）二标段</w:t>
      </w:r>
    </w:p>
    <w:p w14:paraId="18E632D1">
      <w:pPr>
        <w:spacing w:line="480" w:lineRule="exact"/>
        <w:ind w:firstLine="480"/>
        <w:rPr>
          <w:highlight w:val="none"/>
        </w:rPr>
      </w:pPr>
      <w:r>
        <w:rPr>
          <w:rFonts w:hint="eastAsia"/>
          <w:highlight w:val="none"/>
        </w:rPr>
        <w:t>1.2建设单位：歙县城市管理局、歙县开投建设工程有限公司</w:t>
      </w:r>
    </w:p>
    <w:p w14:paraId="6878A25C">
      <w:pPr>
        <w:spacing w:line="480" w:lineRule="exact"/>
        <w:ind w:firstLine="480"/>
        <w:rPr>
          <w:highlight w:val="none"/>
        </w:rPr>
      </w:pPr>
      <w:r>
        <w:rPr>
          <w:rFonts w:hint="eastAsia"/>
          <w:highlight w:val="none"/>
        </w:rPr>
        <w:t>1.3项目建设地点：黄山市歙县。</w:t>
      </w:r>
    </w:p>
    <w:p w14:paraId="4E529B29">
      <w:pPr>
        <w:spacing w:line="480" w:lineRule="exact"/>
        <w:ind w:firstLine="480"/>
        <w:rPr>
          <w:highlight w:val="none"/>
        </w:rPr>
      </w:pPr>
      <w:r>
        <w:rPr>
          <w:rFonts w:hint="eastAsia"/>
          <w:highlight w:val="none"/>
        </w:rPr>
        <w:t>1.4总用地面积： 32700.8平方米（约 49.05亩）</w:t>
      </w:r>
    </w:p>
    <w:p w14:paraId="1F5BA422">
      <w:pPr>
        <w:spacing w:line="480" w:lineRule="exact"/>
        <w:ind w:firstLine="480"/>
        <w:rPr>
          <w:highlight w:val="none"/>
        </w:rPr>
      </w:pPr>
      <w:r>
        <w:rPr>
          <w:rFonts w:hint="eastAsia"/>
          <w:highlight w:val="none"/>
        </w:rPr>
        <w:t>1.5项目规模：生活垃圾压缩转运规模200吨/天，餐厨垃圾处置规模30吨/天，再生资源分拣规模3万吨/年。</w:t>
      </w:r>
    </w:p>
    <w:p w14:paraId="5724E1B9">
      <w:pPr>
        <w:spacing w:line="480" w:lineRule="exact"/>
        <w:ind w:firstLine="480"/>
        <w:rPr>
          <w:highlight w:val="none"/>
        </w:rPr>
      </w:pPr>
      <w:r>
        <w:rPr>
          <w:rFonts w:hint="eastAsia"/>
          <w:highlight w:val="none"/>
        </w:rPr>
        <w:t>1.6主要建设内容：包含新建生活垃圾转运及餐厨处置车间、再生资源分拣车间、渗滤液处理车间、管理用房及其他辅助配套设施，购置对应处置设备等。</w:t>
      </w:r>
    </w:p>
    <w:p w14:paraId="541F13D5">
      <w:pPr>
        <w:pStyle w:val="101"/>
        <w:numPr>
          <w:ilvl w:val="1"/>
          <w:numId w:val="0"/>
        </w:numPr>
        <w:spacing w:line="480" w:lineRule="exact"/>
        <w:rPr>
          <w:highlight w:val="none"/>
        </w:rPr>
      </w:pPr>
      <w:r>
        <w:rPr>
          <w:rFonts w:hint="eastAsia"/>
          <w:highlight w:val="none"/>
        </w:rPr>
        <w:t>二、招标范围及内容</w:t>
      </w:r>
    </w:p>
    <w:p w14:paraId="347B0750">
      <w:pPr>
        <w:spacing w:line="480" w:lineRule="exact"/>
        <w:ind w:firstLine="482"/>
        <w:rPr>
          <w:b/>
          <w:highlight w:val="none"/>
        </w:rPr>
      </w:pPr>
      <w:bookmarkStart w:id="2" w:name="OLE_LINK18"/>
      <w:r>
        <w:rPr>
          <w:rFonts w:hint="eastAsia"/>
          <w:b/>
          <w:bCs/>
          <w:highlight w:val="none"/>
        </w:rPr>
        <w:t>★</w:t>
      </w:r>
      <w:bookmarkEnd w:id="2"/>
      <w:r>
        <w:rPr>
          <w:rFonts w:hint="eastAsia"/>
          <w:b/>
          <w:highlight w:val="none"/>
        </w:rPr>
        <w:t>1.1招标内容为30t/d的餐厨垃圾处置成套设备的采购、运输和安装，工程的调试，操作人员的培训，设备试运行直至通过招标方和设备验收（包括但不限于专家验收），以及后期对设备的运行指导和维修服务。（提供承诺函）</w:t>
      </w:r>
    </w:p>
    <w:p w14:paraId="4BB5A747">
      <w:pPr>
        <w:spacing w:line="480" w:lineRule="exact"/>
        <w:ind w:firstLine="480"/>
        <w:rPr>
          <w:highlight w:val="none"/>
        </w:rPr>
      </w:pPr>
      <w:bookmarkStart w:id="3" w:name="OLE_LINK9"/>
      <w:bookmarkStart w:id="4" w:name="OLE_LINK8"/>
      <w:r>
        <w:rPr>
          <w:rFonts w:hint="eastAsia"/>
          <w:highlight w:val="none"/>
        </w:rPr>
        <w:t>1.2投标方</w:t>
      </w:r>
      <w:bookmarkEnd w:id="3"/>
      <w:bookmarkEnd w:id="4"/>
      <w:r>
        <w:rPr>
          <w:rFonts w:hint="eastAsia"/>
          <w:highlight w:val="none"/>
        </w:rPr>
        <w:t>应提供工艺先进、技术成熟、经济实用、性能可靠、便于维修、节电节水的水处理技术，布局应紧凑合理，既满足餐厨垃圾资源化处置要求，又能有效节约占地及投资，且满足技术规格的要求，尽量减少人员劳动强度。</w:t>
      </w:r>
    </w:p>
    <w:p w14:paraId="0B6DF453">
      <w:pPr>
        <w:spacing w:line="480" w:lineRule="exact"/>
        <w:ind w:firstLine="482"/>
        <w:rPr>
          <w:b/>
          <w:bCs/>
          <w:highlight w:val="none"/>
        </w:rPr>
      </w:pPr>
      <w:bookmarkStart w:id="5" w:name="OLE_LINK22"/>
      <w:bookmarkStart w:id="6" w:name="OLE_LINK57"/>
      <w:r>
        <w:rPr>
          <w:rFonts w:hint="eastAsia"/>
          <w:b/>
          <w:bCs/>
          <w:highlight w:val="none"/>
        </w:rPr>
        <w:t>1.3</w:t>
      </w:r>
      <w:bookmarkStart w:id="7" w:name="OLE_LINK15"/>
      <w:bookmarkStart w:id="8" w:name="OLE_LINK17"/>
      <w:r>
        <w:rPr>
          <w:rFonts w:hint="eastAsia"/>
          <w:b/>
          <w:bCs/>
          <w:highlight w:val="none"/>
        </w:rPr>
        <w:t>★</w:t>
      </w:r>
      <w:bookmarkEnd w:id="7"/>
      <w:bookmarkEnd w:id="8"/>
      <w:r>
        <w:rPr>
          <w:rFonts w:hint="eastAsia"/>
          <w:b/>
          <w:bCs/>
          <w:highlight w:val="none"/>
        </w:rPr>
        <w:t>投标方须提供《产线系统运行能耗与成本估算分析报告》上传至电子投标文件中，至少包括各系统日均处理量下的水、电、蒸汽（或燃气）等消耗量估算数据及能耗占比分析。</w:t>
      </w:r>
    </w:p>
    <w:bookmarkEnd w:id="5"/>
    <w:bookmarkEnd w:id="6"/>
    <w:p w14:paraId="72FBA475">
      <w:pPr>
        <w:pStyle w:val="101"/>
        <w:numPr>
          <w:ilvl w:val="1"/>
          <w:numId w:val="0"/>
        </w:numPr>
        <w:spacing w:line="480" w:lineRule="exact"/>
        <w:rPr>
          <w:highlight w:val="none"/>
        </w:rPr>
      </w:pPr>
      <w:r>
        <w:rPr>
          <w:rFonts w:hint="eastAsia"/>
          <w:highlight w:val="none"/>
        </w:rPr>
        <w:t>三、总则</w:t>
      </w:r>
    </w:p>
    <w:p w14:paraId="6D7E170F">
      <w:pPr>
        <w:spacing w:line="480" w:lineRule="exact"/>
        <w:ind w:firstLine="480"/>
        <w:rPr>
          <w:highlight w:val="none"/>
        </w:rPr>
      </w:pPr>
      <w:r>
        <w:rPr>
          <w:rFonts w:hint="eastAsia"/>
          <w:highlight w:val="none"/>
        </w:rPr>
        <w:t>1.1本招标书涵盖所需餐厨垃圾处置成套设备的功能、结构、性能、安装、试验和指导运行等方面的技术要求，提出的是最低限度的技术要求，并未对一切技术细节作出规定，也未充分引用有关标准和规定，具体包括但不限于以下内容：</w:t>
      </w:r>
    </w:p>
    <w:p w14:paraId="08BC61B3">
      <w:pPr>
        <w:spacing w:line="480" w:lineRule="exact"/>
        <w:ind w:firstLine="480"/>
        <w:rPr>
          <w:highlight w:val="none"/>
        </w:rPr>
      </w:pPr>
      <w:r>
        <w:rPr>
          <w:rFonts w:hint="eastAsia"/>
          <w:highlight w:val="none"/>
        </w:rPr>
        <w:t>1.2投标人提供的设备保证运行稳定可靠，处理能力满足招标文件要求，系统具有合理性、先进性、自控程度、节能环保性特点，并要求满足国家相关法律法规及规范规定。</w:t>
      </w:r>
    </w:p>
    <w:p w14:paraId="1812E07D">
      <w:pPr>
        <w:spacing w:line="480" w:lineRule="exact"/>
        <w:ind w:firstLine="480"/>
        <w:rPr>
          <w:highlight w:val="none"/>
        </w:rPr>
      </w:pPr>
      <w:r>
        <w:rPr>
          <w:rFonts w:hint="eastAsia"/>
          <w:highlight w:val="none"/>
        </w:rPr>
        <w:t>1.3投标人提供的工艺系统应满足本项目餐厨垃圾处理能力要求，处置过程环保等。</w:t>
      </w:r>
    </w:p>
    <w:p w14:paraId="4ED0DAC8">
      <w:pPr>
        <w:spacing w:line="480" w:lineRule="exact"/>
        <w:ind w:firstLine="480"/>
        <w:rPr>
          <w:highlight w:val="none"/>
        </w:rPr>
      </w:pPr>
      <w:r>
        <w:rPr>
          <w:rFonts w:hint="eastAsia"/>
          <w:highlight w:val="none"/>
        </w:rPr>
        <w:t>1.4投标人提供适合本项目的系统优化设计、非标设备制造、标准设备、阀门、仪器仪表、主辅材料采购、运输、安装、工程检验、调试、运行竣工验收及技术培训。</w:t>
      </w:r>
    </w:p>
    <w:p w14:paraId="21CF06FD">
      <w:pPr>
        <w:spacing w:line="480" w:lineRule="exact"/>
        <w:ind w:firstLine="480"/>
        <w:rPr>
          <w:highlight w:val="none"/>
        </w:rPr>
      </w:pPr>
      <w:r>
        <w:rPr>
          <w:rFonts w:hint="eastAsia"/>
          <w:highlight w:val="none"/>
        </w:rPr>
        <w:t>1.5投标人应以本招标文件所列的供货清单为基础进行深化完善，但不局限于供货清单中所列设备和系统，清单中依次说明规格、数量、生产厂家等内容。对于属于整套设备运行和施工所必需的部件，即使设备清单中未列出或数量不足，投标人仍须在执行合同时补足，费用不再另行增加。</w:t>
      </w:r>
    </w:p>
    <w:p w14:paraId="3036739E">
      <w:pPr>
        <w:spacing w:line="480" w:lineRule="exact"/>
        <w:ind w:firstLine="480"/>
        <w:rPr>
          <w:highlight w:val="none"/>
        </w:rPr>
      </w:pPr>
      <w:r>
        <w:rPr>
          <w:rFonts w:hint="eastAsia"/>
          <w:highlight w:val="none"/>
        </w:rPr>
        <w:t>1.6投标人应提供所有安装和检修的专用工具，应提供质保期内所需的备品备件及缺陷责任期所需的备品备件清单，费用不再另行增加。</w:t>
      </w:r>
    </w:p>
    <w:p w14:paraId="06C8D344">
      <w:pPr>
        <w:spacing w:line="480" w:lineRule="exact"/>
        <w:ind w:firstLine="480"/>
        <w:rPr>
          <w:highlight w:val="none"/>
        </w:rPr>
      </w:pPr>
      <w:r>
        <w:rPr>
          <w:rFonts w:hint="eastAsia"/>
          <w:highlight w:val="none"/>
        </w:rPr>
        <w:t>1.7投标人应提供餐厨垃圾成套设备的工艺详细设计图纸及满足设计院要求的交接图纸。</w:t>
      </w:r>
    </w:p>
    <w:p w14:paraId="3598DA67">
      <w:pPr>
        <w:spacing w:line="480" w:lineRule="exact"/>
        <w:ind w:firstLine="480"/>
        <w:rPr>
          <w:highlight w:val="none"/>
        </w:rPr>
      </w:pPr>
      <w:r>
        <w:rPr>
          <w:rFonts w:hint="eastAsia"/>
          <w:highlight w:val="none"/>
        </w:rPr>
        <w:t>1.8餐厨设备运行成套设备电控柜及以下部分属于投标人范围，投标人负责全部电气设备的所有系统电气连接、控制柜或箱的设计、供货及安装。供货不仅包含电气设备，还包括电缆及敷设电缆的桥架等材料、耗材，所供设备与工艺设备之间的电缆连接等电气安装及调试、培训内容。</w:t>
      </w:r>
    </w:p>
    <w:p w14:paraId="7D30818E">
      <w:pPr>
        <w:spacing w:line="480" w:lineRule="exact"/>
        <w:ind w:firstLine="480"/>
        <w:rPr>
          <w:highlight w:val="none"/>
        </w:rPr>
      </w:pPr>
      <w:r>
        <w:rPr>
          <w:rFonts w:hint="eastAsia"/>
          <w:highlight w:val="none"/>
        </w:rPr>
        <w:t>1.9投标人负责餐厨垃圾成套设备全部仪表及控制设备的连接、控制柜或箱的设计、供货及安装。供货不仅包含仪表及控制设备，还包括电缆及敷设电缆的桥架等材料、耗材，所供设备与工艺设备之间的电缆连接等仪表及控制设备安装及调试、培训内容</w:t>
      </w:r>
    </w:p>
    <w:p w14:paraId="130DD2CF">
      <w:pPr>
        <w:spacing w:line="480" w:lineRule="exact"/>
        <w:ind w:firstLine="480"/>
        <w:rPr>
          <w:b/>
          <w:highlight w:val="none"/>
        </w:rPr>
      </w:pPr>
      <w:bookmarkStart w:id="9" w:name="OLE_LINK2"/>
      <w:bookmarkStart w:id="10" w:name="OLE_LINK1"/>
      <w:r>
        <w:rPr>
          <w:rFonts w:hint="eastAsia"/>
          <w:highlight w:val="none"/>
        </w:rPr>
        <w:t>1.10投标人负责提供实现设备运行中央控制所需的设施，包括但不限于</w:t>
      </w:r>
      <w:bookmarkStart w:id="11" w:name="OLE_LINK48"/>
      <w:r>
        <w:rPr>
          <w:rFonts w:hint="eastAsia"/>
          <w:highlight w:val="none"/>
        </w:rPr>
        <w:t>自动控制系统、编程软件和组态软件、下位机、上位机（工控机、显示器）等。</w:t>
      </w:r>
    </w:p>
    <w:bookmarkEnd w:id="9"/>
    <w:bookmarkEnd w:id="10"/>
    <w:bookmarkEnd w:id="11"/>
    <w:p w14:paraId="55E99927">
      <w:pPr>
        <w:spacing w:line="480" w:lineRule="exact"/>
        <w:ind w:firstLine="480"/>
        <w:rPr>
          <w:highlight w:val="none"/>
        </w:rPr>
      </w:pPr>
      <w:r>
        <w:rPr>
          <w:rFonts w:hint="eastAsia"/>
          <w:highlight w:val="none"/>
        </w:rPr>
        <w:t>1.11招标人对投标人提供的资料确认，并不能解除或减轻投标人对技术协议所有条款应付的责任。</w:t>
      </w:r>
    </w:p>
    <w:p w14:paraId="5E20E43A">
      <w:pPr>
        <w:spacing w:line="480" w:lineRule="exact"/>
        <w:ind w:firstLine="480"/>
        <w:rPr>
          <w:highlight w:val="none"/>
        </w:rPr>
      </w:pPr>
      <w:r>
        <w:rPr>
          <w:rFonts w:hint="eastAsia"/>
          <w:highlight w:val="none"/>
        </w:rPr>
        <w:t>1.12系统设计原则：</w:t>
      </w:r>
    </w:p>
    <w:p w14:paraId="52D793EA">
      <w:pPr>
        <w:spacing w:line="480" w:lineRule="exact"/>
        <w:ind w:firstLine="480"/>
        <w:rPr>
          <w:highlight w:val="none"/>
        </w:rPr>
      </w:pPr>
      <w:r>
        <w:rPr>
          <w:rFonts w:hint="eastAsia"/>
          <w:highlight w:val="none"/>
        </w:rPr>
        <w:t>1.12.1工艺路线合理、适用、可行，保证系统一次性开车成功；</w:t>
      </w:r>
    </w:p>
    <w:p w14:paraId="53759EBC">
      <w:pPr>
        <w:spacing w:line="480" w:lineRule="exact"/>
        <w:ind w:firstLine="480"/>
        <w:rPr>
          <w:highlight w:val="none"/>
        </w:rPr>
      </w:pPr>
      <w:r>
        <w:rPr>
          <w:rFonts w:hint="eastAsia"/>
          <w:highlight w:val="none"/>
        </w:rPr>
        <w:t>1.12.2系统能够连续稳定运行；</w:t>
      </w:r>
    </w:p>
    <w:p w14:paraId="376F295D">
      <w:pPr>
        <w:spacing w:line="480" w:lineRule="exact"/>
        <w:ind w:firstLine="480"/>
        <w:rPr>
          <w:highlight w:val="none"/>
        </w:rPr>
      </w:pPr>
      <w:r>
        <w:rPr>
          <w:rFonts w:hint="eastAsia"/>
          <w:highlight w:val="none"/>
        </w:rPr>
        <w:t>1.12.3过程设备技术成熟、质量过硬、安全可靠；</w:t>
      </w:r>
    </w:p>
    <w:p w14:paraId="14DD0906">
      <w:pPr>
        <w:spacing w:line="480" w:lineRule="exact"/>
        <w:ind w:firstLine="480"/>
        <w:rPr>
          <w:highlight w:val="none"/>
        </w:rPr>
      </w:pPr>
      <w:r>
        <w:rPr>
          <w:rFonts w:hint="eastAsia"/>
          <w:highlight w:val="none"/>
        </w:rPr>
        <w:t>1.12.4充分考虑节能设计，降低运行成本和系统投资；</w:t>
      </w:r>
    </w:p>
    <w:p w14:paraId="771B03CC">
      <w:pPr>
        <w:spacing w:line="480" w:lineRule="exact"/>
        <w:ind w:firstLine="480"/>
        <w:rPr>
          <w:highlight w:val="none"/>
        </w:rPr>
      </w:pPr>
      <w:r>
        <w:rPr>
          <w:rFonts w:hint="eastAsia"/>
          <w:highlight w:val="none"/>
        </w:rPr>
        <w:t>1.12.5系统操作简单，控制精准。</w:t>
      </w:r>
    </w:p>
    <w:p w14:paraId="2AEF2A33">
      <w:pPr>
        <w:spacing w:line="480" w:lineRule="exact"/>
        <w:ind w:firstLine="480"/>
        <w:rPr>
          <w:bCs/>
          <w:highlight w:val="none"/>
        </w:rPr>
      </w:pPr>
      <w:r>
        <w:rPr>
          <w:rFonts w:hint="eastAsia"/>
          <w:bCs/>
          <w:highlight w:val="none"/>
        </w:rPr>
        <w:t>1.13处理工艺及设备等允许中标单位进一步优化，但优化方案须经过设计单位确认后方可施工。</w:t>
      </w:r>
    </w:p>
    <w:p w14:paraId="5CEA43AA">
      <w:pPr>
        <w:spacing w:line="480" w:lineRule="exact"/>
        <w:ind w:firstLine="480"/>
        <w:rPr>
          <w:highlight w:val="none"/>
        </w:rPr>
      </w:pPr>
      <w:r>
        <w:rPr>
          <w:rFonts w:hint="eastAsia"/>
          <w:highlight w:val="none"/>
        </w:rPr>
        <w:t>1.14设计时需充分考虑招标方地址的气象条件和其它环境条件的要求，安装在室外的设备应考虑防雨、防冻和防风防沙措施，满足处理系统稳定、连续、经济运行的要求。</w:t>
      </w:r>
    </w:p>
    <w:p w14:paraId="2BA62F2F">
      <w:pPr>
        <w:spacing w:line="480" w:lineRule="exact"/>
        <w:ind w:firstLine="480"/>
        <w:rPr>
          <w:highlight w:val="none"/>
        </w:rPr>
      </w:pPr>
      <w:r>
        <w:rPr>
          <w:rFonts w:hint="eastAsia"/>
          <w:highlight w:val="none"/>
        </w:rPr>
        <w:t>1.15投标人应根据餐厨垃圾成套设备所处的环境条件和处理的工艺介质，选择合适的材料和防腐措施，以保证装置（包括设备、管道及各种建构筑物）的使用寿命。</w:t>
      </w:r>
    </w:p>
    <w:p w14:paraId="344D832D">
      <w:pPr>
        <w:spacing w:line="480" w:lineRule="exact"/>
        <w:ind w:firstLine="480"/>
        <w:rPr>
          <w:highlight w:val="none"/>
        </w:rPr>
      </w:pPr>
      <w:r>
        <w:rPr>
          <w:rFonts w:hint="eastAsia"/>
          <w:highlight w:val="none"/>
        </w:rPr>
        <w:t>1.16投标人因提供所有工艺管道、电缆架空敷设。投标人应做好设施除臭所需的前端设施密闭，预留除臭风管接口。</w:t>
      </w:r>
    </w:p>
    <w:p w14:paraId="410790DF">
      <w:pPr>
        <w:spacing w:line="480" w:lineRule="exact"/>
        <w:ind w:firstLine="480"/>
        <w:rPr>
          <w:highlight w:val="none"/>
        </w:rPr>
      </w:pPr>
      <w:bookmarkStart w:id="97" w:name="_GoBack"/>
      <w:bookmarkStart w:id="12" w:name="OLE_LINK19"/>
      <w:bookmarkStart w:id="13" w:name="OLE_LINK20"/>
      <w:bookmarkStart w:id="14" w:name="OLE_LINK60"/>
      <w:bookmarkStart w:id="15" w:name="OLE_LINK59"/>
      <w:r>
        <w:rPr>
          <w:rFonts w:hint="eastAsia"/>
          <w:highlight w:val="none"/>
        </w:rPr>
        <w:t>★</w:t>
      </w:r>
      <w:bookmarkEnd w:id="97"/>
      <w:bookmarkEnd w:id="12"/>
      <w:bookmarkEnd w:id="13"/>
      <w:r>
        <w:rPr>
          <w:rFonts w:hint="eastAsia"/>
          <w:b/>
          <w:bCs/>
          <w:highlight w:val="none"/>
        </w:rPr>
        <w:t>1.17风机需配置变频器，并具备根据负荷自动调节频率的功能。水泵及输送类设备应具有过载保护能力，可根据负荷自动启停或者自动调节频率的功能。（提供具备CMA认证的第三方检测机构出具的检测报告或承诺函上传至电子投标文件中）</w:t>
      </w:r>
    </w:p>
    <w:p w14:paraId="4E0B8FBE">
      <w:pPr>
        <w:pStyle w:val="101"/>
        <w:numPr>
          <w:ilvl w:val="1"/>
          <w:numId w:val="0"/>
        </w:numPr>
        <w:spacing w:line="480" w:lineRule="exact"/>
        <w:ind w:firstLine="482" w:firstLineChars="200"/>
        <w:rPr>
          <w:highlight w:val="none"/>
        </w:rPr>
      </w:pPr>
      <w:bookmarkStart w:id="16" w:name="OLE_LINK58"/>
      <w:r>
        <w:rPr>
          <w:rFonts w:hint="eastAsia"/>
          <w:highlight w:val="none"/>
        </w:rPr>
        <w:t>1.18投标人提供的关键设备的能效等级要求。风机：如设备中的离心通风机、轴流通风机等，需符合《通风机能效限定值及能效等级》（GB19761），要求风机效率不低于 2 级能效水平。电机：像设备中用于搅拌、输送等功能的三相异步电动机，需遵循《中小型三相异步电动机能效限定值及能效等级》（GB18613）。</w:t>
      </w:r>
      <w:bookmarkEnd w:id="14"/>
      <w:bookmarkEnd w:id="15"/>
      <w:bookmarkEnd w:id="16"/>
    </w:p>
    <w:p w14:paraId="7B072E65">
      <w:pPr>
        <w:pStyle w:val="101"/>
        <w:numPr>
          <w:ilvl w:val="1"/>
          <w:numId w:val="0"/>
        </w:numPr>
        <w:spacing w:line="480" w:lineRule="exact"/>
        <w:rPr>
          <w:highlight w:val="none"/>
        </w:rPr>
      </w:pPr>
      <w:r>
        <w:rPr>
          <w:rFonts w:hint="eastAsia"/>
          <w:highlight w:val="none"/>
        </w:rPr>
        <w:t>四、施工分界</w:t>
      </w:r>
    </w:p>
    <w:p w14:paraId="3F913198">
      <w:pPr>
        <w:spacing w:line="480" w:lineRule="exact"/>
        <w:ind w:firstLine="480"/>
        <w:rPr>
          <w:highlight w:val="none"/>
        </w:rPr>
      </w:pPr>
      <w:r>
        <w:rPr>
          <w:rFonts w:hint="eastAsia"/>
          <w:highlight w:val="none"/>
        </w:rPr>
        <w:t>1.1在工程的计划及建造期间，承包人应与其他承包人及其成员合作、协调，以免耽误工程进展，并应保证所有工程高效率完成。</w:t>
      </w:r>
    </w:p>
    <w:p w14:paraId="623AAB25">
      <w:pPr>
        <w:spacing w:line="480" w:lineRule="exact"/>
        <w:ind w:firstLine="480"/>
        <w:rPr>
          <w:highlight w:val="none"/>
        </w:rPr>
      </w:pPr>
      <w:r>
        <w:rPr>
          <w:rFonts w:hint="eastAsia"/>
          <w:highlight w:val="none"/>
        </w:rPr>
        <w:t>1.2承包人应及时向业主提供与其他承包人及公共管理机构协调中的所有问题，并协助业主共同解决。</w:t>
      </w:r>
    </w:p>
    <w:p w14:paraId="135BDCE2">
      <w:pPr>
        <w:spacing w:line="480" w:lineRule="exact"/>
        <w:ind w:firstLine="480"/>
        <w:rPr>
          <w:highlight w:val="none"/>
        </w:rPr>
      </w:pPr>
      <w:r>
        <w:rPr>
          <w:rFonts w:hint="eastAsia"/>
          <w:highlight w:val="none"/>
        </w:rPr>
        <w:t>1.3基础、预埋、开孔、井等相关分界：</w:t>
      </w:r>
    </w:p>
    <w:p w14:paraId="0FD87D9F">
      <w:pPr>
        <w:spacing w:line="480" w:lineRule="exact"/>
        <w:ind w:firstLine="480"/>
        <w:rPr>
          <w:highlight w:val="none"/>
        </w:rPr>
      </w:pPr>
      <w:bookmarkStart w:id="17" w:name="OLE_LINK61"/>
      <w:bookmarkStart w:id="18" w:name="OLE_LINK47"/>
      <w:bookmarkStart w:id="19" w:name="OLE_LINK46"/>
      <w:r>
        <w:rPr>
          <w:rFonts w:hint="eastAsia"/>
          <w:highlight w:val="none"/>
        </w:rPr>
        <w:t>1.3.1预埋套管、预埋件（螺栓）、预留孔洞及工艺管道孔洞回堵相应土建单位供货，投标人负责现场指导土建单位安装。电缆沟、穿线井等由土建单位供货及施工。设备基础由土建单位供货及施工，相应设备单位现场指导。</w:t>
      </w:r>
    </w:p>
    <w:bookmarkEnd w:id="17"/>
    <w:bookmarkEnd w:id="18"/>
    <w:bookmarkEnd w:id="19"/>
    <w:p w14:paraId="5C14505D">
      <w:pPr>
        <w:spacing w:line="480" w:lineRule="exact"/>
        <w:ind w:firstLine="480"/>
        <w:rPr>
          <w:highlight w:val="none"/>
        </w:rPr>
      </w:pPr>
      <w:r>
        <w:rPr>
          <w:rFonts w:hint="eastAsia"/>
          <w:highlight w:val="none"/>
        </w:rPr>
        <w:t>1.4与电气系统的分界面</w:t>
      </w:r>
    </w:p>
    <w:p w14:paraId="2B2122B3">
      <w:pPr>
        <w:spacing w:line="480" w:lineRule="exact"/>
        <w:ind w:firstLine="480"/>
        <w:rPr>
          <w:highlight w:val="none"/>
        </w:rPr>
      </w:pPr>
      <w:r>
        <w:rPr>
          <w:rFonts w:hint="eastAsia"/>
          <w:highlight w:val="none"/>
        </w:rPr>
        <w:t>1.4.1对于和本项目有接口关系的土建标，投标人有责任向对方提供属本标书范围内的接口设备的资料及文件，明确提出技术要求，并有责任协助对方完成和复核各设备的接口工作。</w:t>
      </w:r>
    </w:p>
    <w:p w14:paraId="1FC52313">
      <w:pPr>
        <w:spacing w:line="480" w:lineRule="exact"/>
        <w:ind w:firstLine="480"/>
        <w:rPr>
          <w:highlight w:val="none"/>
        </w:rPr>
      </w:pPr>
      <w:r>
        <w:rPr>
          <w:rFonts w:hint="eastAsia"/>
          <w:highlight w:val="none"/>
        </w:rPr>
        <w:t>1.4.2以餐厨车间总配电柜为界，投标方负责从总配电柜输出端子至本系统所有设备的供电、控制电缆及桥架的供应与敷设安装。</w:t>
      </w:r>
    </w:p>
    <w:p w14:paraId="4669F821">
      <w:pPr>
        <w:spacing w:line="480" w:lineRule="exact"/>
        <w:ind w:firstLine="480"/>
        <w:rPr>
          <w:highlight w:val="none"/>
        </w:rPr>
      </w:pPr>
      <w:r>
        <w:rPr>
          <w:rFonts w:hint="eastAsia"/>
          <w:highlight w:val="none"/>
        </w:rPr>
        <w:t>1.4.3接地系统（工作接地，保护接地等）以接地预埋连接件为界，界面以上接地连接线、电缆支架接地以及各设备接地由投标方负责；其余内容（包括接地预埋连接板、利用构筑物自然金属体的接地装置以及构筑物防雷保护装置）属土建标的合同范围。</w:t>
      </w:r>
    </w:p>
    <w:p w14:paraId="1A0E1A7E">
      <w:pPr>
        <w:spacing w:line="480" w:lineRule="exact"/>
        <w:ind w:firstLine="480"/>
        <w:rPr>
          <w:highlight w:val="none"/>
        </w:rPr>
      </w:pPr>
      <w:r>
        <w:rPr>
          <w:rFonts w:hint="eastAsia"/>
          <w:highlight w:val="none"/>
        </w:rPr>
        <w:t>1.5与其他施工内容的分界面</w:t>
      </w:r>
    </w:p>
    <w:p w14:paraId="6D553417">
      <w:pPr>
        <w:spacing w:line="480" w:lineRule="exact"/>
        <w:ind w:firstLine="480"/>
        <w:rPr>
          <w:highlight w:val="none"/>
        </w:rPr>
      </w:pPr>
      <w:r>
        <w:rPr>
          <w:rFonts w:hint="eastAsia"/>
          <w:highlight w:val="none"/>
        </w:rPr>
        <w:t>1.5.1本部分施工包括但不仅限于以下内容：</w:t>
      </w:r>
    </w:p>
    <w:p w14:paraId="0941DD29">
      <w:pPr>
        <w:spacing w:line="480" w:lineRule="exact"/>
        <w:ind w:firstLine="480"/>
        <w:rPr>
          <w:highlight w:val="none"/>
        </w:rPr>
      </w:pPr>
      <w:r>
        <w:rPr>
          <w:rFonts w:hint="eastAsia"/>
          <w:highlight w:val="none"/>
        </w:rPr>
        <w:t>1.5.1.1工艺设备给排水设施属土建施工范围，设备相关给水、排水由投标方提出条件需求图，土建方需将供、排水点接至投标人指定地点，并预留阀门接口.</w:t>
      </w:r>
    </w:p>
    <w:p w14:paraId="30848D0A">
      <w:pPr>
        <w:spacing w:line="480" w:lineRule="exact"/>
        <w:ind w:firstLine="480"/>
        <w:rPr>
          <w:highlight w:val="none"/>
        </w:rPr>
      </w:pPr>
      <w:r>
        <w:rPr>
          <w:rFonts w:hint="eastAsia"/>
          <w:highlight w:val="none"/>
        </w:rPr>
        <w:t>1.5.1.2从供、排水点指定地点接至餐厨系统设备用、排水点的管道阀门及施工由投标方负责。</w:t>
      </w:r>
    </w:p>
    <w:p w14:paraId="5FBD870A">
      <w:pPr>
        <w:spacing w:line="480" w:lineRule="exact"/>
        <w:ind w:firstLine="480"/>
        <w:rPr>
          <w:highlight w:val="none"/>
        </w:rPr>
      </w:pPr>
      <w:r>
        <w:rPr>
          <w:rFonts w:hint="eastAsia"/>
          <w:highlight w:val="none"/>
        </w:rPr>
        <w:t>1.5.1.3车间产生的臭气由投标方送至</w:t>
      </w:r>
      <w:r>
        <w:rPr>
          <w:highlight w:val="none"/>
        </w:rPr>
        <w:t>设备（池体）外</w:t>
      </w:r>
      <w:r>
        <w:rPr>
          <w:rFonts w:hint="eastAsia"/>
          <w:highlight w:val="none"/>
        </w:rPr>
        <w:t>1m（特殊情况根据现场定），并预留接口，后续管道阀门等由除臭系统供应商统一考虑。必要的需除臭的设备投标人均须提供设备密闭罩。</w:t>
      </w:r>
    </w:p>
    <w:p w14:paraId="4B3B9392">
      <w:pPr>
        <w:spacing w:line="480" w:lineRule="exact"/>
        <w:ind w:firstLine="480"/>
        <w:rPr>
          <w:highlight w:val="none"/>
        </w:rPr>
      </w:pPr>
      <w:r>
        <w:rPr>
          <w:rFonts w:hint="eastAsia"/>
          <w:highlight w:val="none"/>
        </w:rPr>
        <w:t>1.5.1.4投标方应预留与上级管理部门监控系统的信号接口：本工程相关数据将来需送上级部门，中标人需将上传数据进行收集、整理及归类，将餐厨系统的信号传送至上级监控中心。</w:t>
      </w:r>
    </w:p>
    <w:p w14:paraId="5305B6A0">
      <w:pPr>
        <w:spacing w:line="480" w:lineRule="exact"/>
        <w:ind w:firstLine="480"/>
        <w:rPr>
          <w:highlight w:val="none"/>
        </w:rPr>
      </w:pPr>
      <w:r>
        <w:rPr>
          <w:rFonts w:hint="eastAsia"/>
          <w:highlight w:val="none"/>
        </w:rPr>
        <w:t>1.5.1.5投标方需将上传数据进行收集、整理及归类，将餐厨系统的信号传送至中控室并可实现就地和远程控制，并提供所有设备设施。</w:t>
      </w:r>
    </w:p>
    <w:p w14:paraId="527253FE">
      <w:pPr>
        <w:pStyle w:val="101"/>
        <w:numPr>
          <w:ilvl w:val="1"/>
          <w:numId w:val="0"/>
        </w:numPr>
        <w:spacing w:line="480" w:lineRule="exact"/>
        <w:rPr>
          <w:highlight w:val="none"/>
        </w:rPr>
      </w:pPr>
      <w:r>
        <w:rPr>
          <w:rFonts w:hint="eastAsia"/>
          <w:highlight w:val="none"/>
        </w:rPr>
        <w:t>五、技术参数要求</w:t>
      </w:r>
    </w:p>
    <w:p w14:paraId="5B00E9A9">
      <w:pPr>
        <w:pStyle w:val="103"/>
        <w:numPr>
          <w:ilvl w:val="2"/>
          <w:numId w:val="0"/>
        </w:numPr>
        <w:spacing w:line="480" w:lineRule="exact"/>
        <w:ind w:left="240" w:firstLine="241" w:firstLineChars="100"/>
        <w:rPr>
          <w:highlight w:val="none"/>
        </w:rPr>
      </w:pPr>
      <w:r>
        <w:rPr>
          <w:rFonts w:hint="eastAsia"/>
          <w:highlight w:val="none"/>
        </w:rPr>
        <w:t>1.1</w:t>
      </w:r>
      <w:r>
        <w:rPr>
          <w:highlight w:val="none"/>
        </w:rPr>
        <w:fldChar w:fldCharType="begin"/>
      </w:r>
      <w:r>
        <w:rPr>
          <w:highlight w:val="none"/>
        </w:rPr>
        <w:instrText xml:space="preserve"> HYPERLINK \l "_Toc38714752" </w:instrText>
      </w:r>
      <w:r>
        <w:rPr>
          <w:highlight w:val="none"/>
        </w:rPr>
        <w:fldChar w:fldCharType="separate"/>
      </w:r>
      <w:bookmarkStart w:id="20" w:name="_Toc141707103"/>
      <w:bookmarkStart w:id="21" w:name="_Toc180486572"/>
      <w:r>
        <w:rPr>
          <w:rStyle w:val="47"/>
          <w:rFonts w:hint="eastAsia"/>
          <w:color w:val="auto"/>
          <w:highlight w:val="none"/>
          <w:u w:val="none"/>
        </w:rPr>
        <w:t>垃圾来源</w:t>
      </w:r>
      <w:bookmarkEnd w:id="20"/>
      <w:bookmarkEnd w:id="21"/>
      <w:r>
        <w:rPr>
          <w:rStyle w:val="47"/>
          <w:rFonts w:hint="eastAsia"/>
          <w:color w:val="auto"/>
          <w:highlight w:val="none"/>
          <w:u w:val="none"/>
        </w:rPr>
        <w:fldChar w:fldCharType="end"/>
      </w:r>
    </w:p>
    <w:p w14:paraId="1F8814C9">
      <w:pPr>
        <w:spacing w:line="480" w:lineRule="exact"/>
        <w:ind w:firstLine="480"/>
        <w:rPr>
          <w:highlight w:val="none"/>
        </w:rPr>
      </w:pPr>
      <w:r>
        <w:rPr>
          <w:rFonts w:hint="eastAsia"/>
          <w:highlight w:val="none"/>
        </w:rPr>
        <w:t>1.1.1</w:t>
      </w:r>
      <w:r>
        <w:rPr>
          <w:highlight w:val="none"/>
        </w:rPr>
        <w:t>根据《安徽省推进城市生活垃圾分类工作实施方案》中关于生活垃圾分类部分，生活垃圾主要可回收物、有害垃圾、餐厨垃圾和其他垃圾。其中进入本项目转运的为生活垃圾经过分类后的</w:t>
      </w:r>
      <w:r>
        <w:rPr>
          <w:rFonts w:hint="eastAsia"/>
          <w:highlight w:val="none"/>
        </w:rPr>
        <w:t>餐厨</w:t>
      </w:r>
      <w:r>
        <w:rPr>
          <w:highlight w:val="none"/>
        </w:rPr>
        <w:t>垃圾。</w:t>
      </w:r>
    </w:p>
    <w:p w14:paraId="369F7B12">
      <w:pPr>
        <w:pStyle w:val="103"/>
        <w:numPr>
          <w:ilvl w:val="2"/>
          <w:numId w:val="0"/>
        </w:numPr>
        <w:spacing w:line="480" w:lineRule="exact"/>
        <w:ind w:firstLine="482" w:firstLineChars="200"/>
        <w:rPr>
          <w:highlight w:val="none"/>
        </w:rPr>
      </w:pPr>
      <w:r>
        <w:rPr>
          <w:rFonts w:hint="eastAsia"/>
          <w:highlight w:val="none"/>
        </w:rPr>
        <w:t>1.2总体</w:t>
      </w:r>
      <w:r>
        <w:rPr>
          <w:highlight w:val="none"/>
        </w:rPr>
        <w:t>技术路线</w:t>
      </w:r>
    </w:p>
    <w:p w14:paraId="24B6664C">
      <w:pPr>
        <w:spacing w:line="480" w:lineRule="exact"/>
        <w:ind w:firstLine="480"/>
        <w:rPr>
          <w:highlight w:val="none"/>
        </w:rPr>
      </w:pPr>
      <w:r>
        <w:rPr>
          <w:rFonts w:hint="eastAsia"/>
          <w:highlight w:val="none"/>
        </w:rPr>
        <w:t>1.2.1餐厨</w:t>
      </w:r>
      <w:r>
        <w:rPr>
          <w:highlight w:val="none"/>
        </w:rPr>
        <w:t>垃圾处置核心处置工艺选用</w:t>
      </w:r>
      <w:r>
        <w:rPr>
          <w:rFonts w:hint="eastAsia"/>
          <w:highlight w:val="none"/>
        </w:rPr>
        <w:t>“预处理+油水分离+</w:t>
      </w:r>
      <w:bookmarkStart w:id="22" w:name="OLE_LINK3"/>
      <w:bookmarkStart w:id="23" w:name="OLE_LINK6"/>
      <w:r>
        <w:rPr>
          <w:rFonts w:hint="eastAsia"/>
          <w:highlight w:val="none"/>
        </w:rPr>
        <w:t>高温好氧堆肥</w:t>
      </w:r>
      <w:bookmarkEnd w:id="22"/>
      <w:bookmarkEnd w:id="23"/>
      <w:r>
        <w:rPr>
          <w:rFonts w:hint="eastAsia"/>
          <w:highlight w:val="none"/>
        </w:rPr>
        <w:t>”的总体技术路线</w:t>
      </w:r>
      <w:r>
        <w:rPr>
          <w:highlight w:val="none"/>
        </w:rPr>
        <w:t>。</w:t>
      </w:r>
      <w:r>
        <w:rPr>
          <w:rFonts w:hint="eastAsia"/>
          <w:highlight w:val="none"/>
        </w:rPr>
        <w:t>具体</w:t>
      </w:r>
      <w:r>
        <w:rPr>
          <w:highlight w:val="none"/>
        </w:rPr>
        <w:t>采用“破袋</w:t>
      </w:r>
      <w:r>
        <w:rPr>
          <w:rFonts w:hint="eastAsia"/>
          <w:highlight w:val="none"/>
        </w:rPr>
        <w:t>+大物质分选+精分破碎+渣料脱水+三相提油+高温好氧堆肥</w:t>
      </w:r>
      <w:r>
        <w:rPr>
          <w:highlight w:val="none"/>
        </w:rPr>
        <w:t>”工艺路线</w:t>
      </w:r>
      <w:r>
        <w:rPr>
          <w:rFonts w:hint="eastAsia"/>
          <w:highlight w:val="none"/>
        </w:rPr>
        <w:t>。</w:t>
      </w:r>
    </w:p>
    <w:p w14:paraId="2E125112">
      <w:pPr>
        <w:spacing w:line="480" w:lineRule="exact"/>
        <w:ind w:firstLine="480"/>
        <w:rPr>
          <w:highlight w:val="none"/>
        </w:rPr>
      </w:pPr>
      <w:r>
        <w:rPr>
          <w:rFonts w:hint="eastAsia"/>
          <w:highlight w:val="none"/>
        </w:rPr>
        <w:t>1.2.2破碎脱水出来的固渣经发酵制成有机肥，油脂暂存外售，轻物质及筛上物外运处置，液相送入厂内渗滤液处理车间进行后续处理。</w:t>
      </w:r>
    </w:p>
    <w:p w14:paraId="38132933">
      <w:pPr>
        <w:pStyle w:val="103"/>
        <w:numPr>
          <w:ilvl w:val="2"/>
          <w:numId w:val="0"/>
        </w:numPr>
        <w:spacing w:line="480" w:lineRule="exact"/>
        <w:ind w:left="240"/>
        <w:rPr>
          <w:highlight w:val="none"/>
        </w:rPr>
      </w:pPr>
      <w:r>
        <w:rPr>
          <w:rFonts w:hint="eastAsia"/>
          <w:highlight w:val="none"/>
        </w:rPr>
        <w:t xml:space="preserve">  1.3转运规模及工艺流程</w:t>
      </w:r>
    </w:p>
    <w:p w14:paraId="6382546E">
      <w:pPr>
        <w:spacing w:line="480" w:lineRule="exact"/>
        <w:ind w:firstLine="480"/>
        <w:rPr>
          <w:highlight w:val="none"/>
        </w:rPr>
      </w:pPr>
      <w:r>
        <w:rPr>
          <w:rFonts w:hint="eastAsia"/>
          <w:highlight w:val="none"/>
        </w:rPr>
        <w:t>1.3.1本项目餐厨垃圾处置规模为</w:t>
      </w:r>
      <w:bookmarkStart w:id="24" w:name="OLE_LINK69"/>
      <w:bookmarkStart w:id="25" w:name="OLE_LINK63"/>
      <w:r>
        <w:rPr>
          <w:rFonts w:hint="eastAsia"/>
          <w:highlight w:val="none"/>
        </w:rPr>
        <w:t>30t/d</w:t>
      </w:r>
      <w:bookmarkEnd w:id="24"/>
      <w:bookmarkEnd w:id="25"/>
      <w:r>
        <w:rPr>
          <w:rFonts w:hint="eastAsia"/>
          <w:highlight w:val="none"/>
        </w:rPr>
        <w:t>。投标人提供设备预处理规模≥50t/d，高温好氧堆肥处理规模≥20t/d。</w:t>
      </w:r>
    </w:p>
    <w:p w14:paraId="6AA258B5">
      <w:pPr>
        <w:spacing w:line="480" w:lineRule="exact"/>
        <w:ind w:firstLine="480"/>
        <w:rPr>
          <w:highlight w:val="none"/>
        </w:rPr>
      </w:pPr>
      <w:r>
        <w:rPr>
          <w:rFonts w:hint="eastAsia"/>
          <w:highlight w:val="none"/>
        </w:rPr>
        <w:t>1.3.2工艺流程说明：</w:t>
      </w:r>
    </w:p>
    <w:p w14:paraId="53D99E9F">
      <w:pPr>
        <w:spacing w:line="480" w:lineRule="exact"/>
        <w:ind w:firstLine="480"/>
        <w:rPr>
          <w:highlight w:val="none"/>
        </w:rPr>
      </w:pPr>
      <w:r>
        <w:rPr>
          <w:rFonts w:hint="eastAsia"/>
          <w:highlight w:val="none"/>
        </w:rPr>
        <w:t>1.3.2.1餐厨垃圾资源化处理系统是融合收集输送、大物质分选、精分破碎、渣料脱水、油脂提取、生化处理等设备。对餐厨垃圾进行分类化，减量化，无害化和资源化处理的流水线集成系统。</w:t>
      </w:r>
    </w:p>
    <w:p w14:paraId="691AC63B">
      <w:pPr>
        <w:spacing w:line="480" w:lineRule="exact"/>
        <w:ind w:firstLine="480"/>
        <w:rPr>
          <w:highlight w:val="none"/>
        </w:rPr>
      </w:pPr>
      <w:r>
        <w:rPr>
          <w:rFonts w:hint="eastAsia"/>
          <w:highlight w:val="none"/>
        </w:rPr>
        <w:t>1.3.2.2餐厨垃圾由餐厨垃圾车运来进行称重统计后，通过坡道进入二层卸料大厅倒入卸料仓。沥水后通过螺旋经破袋后，进入大物质分选机进行大物质分选和水洗脱油脱盐，其中大物质垃圾通过螺旋提升至垃圾箱外运焚烧，粗分后餐厨垃圾进入精分破碎进行二次分拣，分选出的无机垃圾放入垃圾箱。渣料通过螺旋输送至渣料脱水机进行固液分离，分离后的部分有机残渣输送至好氧发酵仓发酵处理，形成有机肥料；剩余超过生化处理能力有机残渣外运合规处置。餐厨滤液汇入集水池，泵送进入加热搅拌罐进行蒸煮，达到70℃以上的浆液泵入卧螺离心机三相分离，分离后渣相并入螺旋进发酵仓，油相通过缓冲箱进入储油罐待售，水相进入渗滤液系统。</w:t>
      </w:r>
    </w:p>
    <w:p w14:paraId="3FFCE3F9">
      <w:pPr>
        <w:pStyle w:val="103"/>
        <w:numPr>
          <w:ilvl w:val="2"/>
          <w:numId w:val="0"/>
        </w:numPr>
        <w:spacing w:line="480" w:lineRule="exact"/>
        <w:ind w:left="240"/>
        <w:rPr>
          <w:highlight w:val="none"/>
        </w:rPr>
      </w:pPr>
      <w:r>
        <w:rPr>
          <w:rFonts w:hint="eastAsia"/>
          <w:highlight w:val="none"/>
        </w:rPr>
        <w:t xml:space="preserve">  1.4设备清单</w:t>
      </w:r>
    </w:p>
    <w:p w14:paraId="23B7B029">
      <w:pPr>
        <w:pStyle w:val="95"/>
        <w:numPr>
          <w:ilvl w:val="3"/>
          <w:numId w:val="0"/>
        </w:numPr>
        <w:spacing w:line="480" w:lineRule="exact"/>
        <w:rPr>
          <w:highlight w:val="none"/>
        </w:rPr>
      </w:pPr>
      <w:r>
        <w:rPr>
          <w:highlight w:val="none"/>
        </w:rPr>
        <w:t>表1.5-1</w:t>
      </w:r>
      <w:r>
        <w:rPr>
          <w:rFonts w:hint="eastAsia"/>
          <w:highlight w:val="none"/>
        </w:rPr>
        <w:t>餐厨垃圾成套设备采购清单表</w:t>
      </w:r>
    </w:p>
    <w:tbl>
      <w:tblPr>
        <w:tblStyle w:val="278"/>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1"/>
        <w:gridCol w:w="1057"/>
        <w:gridCol w:w="7170"/>
        <w:gridCol w:w="451"/>
        <w:gridCol w:w="621"/>
      </w:tblGrid>
      <w:tr w14:paraId="6F07F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06D2F1FD">
            <w:pPr>
              <w:pStyle w:val="121"/>
              <w:spacing w:line="480" w:lineRule="exact"/>
              <w:rPr>
                <w:rFonts w:ascii="Calibri" w:hAnsi="Calibri"/>
                <w:highlight w:val="none"/>
                <w:lang w:eastAsia="en-US"/>
              </w:rPr>
            </w:pPr>
            <w:r>
              <w:rPr>
                <w:rFonts w:ascii="Calibri" w:hAnsi="Calibri"/>
                <w:highlight w:val="none"/>
                <w:lang w:eastAsia="en-US"/>
              </w:rPr>
              <w:t>序号</w:t>
            </w:r>
          </w:p>
        </w:tc>
        <w:tc>
          <w:tcPr>
            <w:tcW w:w="1057" w:type="dxa"/>
            <w:shd w:val="clear" w:color="auto" w:fill="auto"/>
            <w:vAlign w:val="center"/>
          </w:tcPr>
          <w:p w14:paraId="11267CA6">
            <w:pPr>
              <w:pStyle w:val="121"/>
              <w:spacing w:line="480" w:lineRule="exact"/>
              <w:rPr>
                <w:rFonts w:ascii="Calibri" w:hAnsi="Calibri"/>
                <w:highlight w:val="none"/>
                <w:lang w:eastAsia="en-US"/>
              </w:rPr>
            </w:pPr>
            <w:r>
              <w:rPr>
                <w:rFonts w:ascii="Calibri" w:hAnsi="Calibri"/>
                <w:highlight w:val="none"/>
                <w:lang w:eastAsia="en-US"/>
              </w:rPr>
              <w:t>名称</w:t>
            </w:r>
          </w:p>
        </w:tc>
        <w:tc>
          <w:tcPr>
            <w:tcW w:w="7170" w:type="dxa"/>
            <w:shd w:val="clear" w:color="auto" w:fill="auto"/>
            <w:vAlign w:val="center"/>
          </w:tcPr>
          <w:p w14:paraId="636478B8">
            <w:pPr>
              <w:pStyle w:val="121"/>
              <w:spacing w:line="480" w:lineRule="exact"/>
              <w:rPr>
                <w:rFonts w:ascii="Calibri" w:hAnsi="Calibri"/>
                <w:highlight w:val="none"/>
                <w:lang w:eastAsia="en-US"/>
              </w:rPr>
            </w:pPr>
            <w:r>
              <w:rPr>
                <w:rFonts w:ascii="Calibri" w:hAnsi="Calibri"/>
                <w:highlight w:val="none"/>
                <w:lang w:eastAsia="en-US"/>
              </w:rPr>
              <w:t>技术参数</w:t>
            </w:r>
          </w:p>
        </w:tc>
        <w:tc>
          <w:tcPr>
            <w:tcW w:w="451" w:type="dxa"/>
            <w:shd w:val="clear" w:color="auto" w:fill="auto"/>
            <w:vAlign w:val="center"/>
          </w:tcPr>
          <w:p w14:paraId="6D6207CE">
            <w:pPr>
              <w:pStyle w:val="121"/>
              <w:spacing w:line="480" w:lineRule="exact"/>
              <w:rPr>
                <w:rFonts w:ascii="Calibri" w:hAnsi="Calibri"/>
                <w:highlight w:val="none"/>
                <w:lang w:eastAsia="en-US"/>
              </w:rPr>
            </w:pPr>
            <w:r>
              <w:rPr>
                <w:rFonts w:ascii="Calibri" w:hAnsi="Calibri"/>
                <w:highlight w:val="none"/>
                <w:lang w:eastAsia="en-US"/>
              </w:rPr>
              <w:t>单位</w:t>
            </w:r>
          </w:p>
        </w:tc>
        <w:tc>
          <w:tcPr>
            <w:tcW w:w="621" w:type="dxa"/>
            <w:shd w:val="clear" w:color="auto" w:fill="auto"/>
            <w:vAlign w:val="center"/>
          </w:tcPr>
          <w:p w14:paraId="1D5B256B">
            <w:pPr>
              <w:pStyle w:val="121"/>
              <w:spacing w:line="480" w:lineRule="exact"/>
              <w:rPr>
                <w:rFonts w:ascii="Calibri" w:hAnsi="Calibri"/>
                <w:highlight w:val="none"/>
                <w:lang w:eastAsia="en-US"/>
              </w:rPr>
            </w:pPr>
            <w:r>
              <w:rPr>
                <w:rFonts w:ascii="Calibri" w:hAnsi="Calibri"/>
                <w:highlight w:val="none"/>
                <w:lang w:eastAsia="en-US"/>
              </w:rPr>
              <w:t>数量</w:t>
            </w:r>
          </w:p>
        </w:tc>
      </w:tr>
      <w:tr w14:paraId="3A95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427D8078">
            <w:pPr>
              <w:pStyle w:val="121"/>
              <w:spacing w:line="480" w:lineRule="exact"/>
              <w:rPr>
                <w:rFonts w:ascii="Calibri" w:hAnsi="Calibri"/>
                <w:highlight w:val="none"/>
                <w:lang w:eastAsia="en-US"/>
              </w:rPr>
            </w:pPr>
            <w:r>
              <w:rPr>
                <w:rFonts w:ascii="Calibri" w:hAnsi="Calibri"/>
                <w:highlight w:val="none"/>
                <w:lang w:eastAsia="en-US"/>
              </w:rPr>
              <w:t>一</w:t>
            </w:r>
          </w:p>
        </w:tc>
        <w:tc>
          <w:tcPr>
            <w:tcW w:w="9299" w:type="dxa"/>
            <w:gridSpan w:val="4"/>
            <w:shd w:val="clear" w:color="auto" w:fill="auto"/>
            <w:vAlign w:val="center"/>
          </w:tcPr>
          <w:p w14:paraId="3E7C34BA">
            <w:pPr>
              <w:pStyle w:val="121"/>
              <w:spacing w:line="480" w:lineRule="exact"/>
              <w:rPr>
                <w:rFonts w:ascii="Calibri" w:hAnsi="Calibri"/>
                <w:highlight w:val="none"/>
                <w:lang w:eastAsia="en-US"/>
              </w:rPr>
            </w:pPr>
            <w:r>
              <w:rPr>
                <w:rFonts w:hint="eastAsia" w:ascii="Calibri" w:hAnsi="Calibri"/>
                <w:highlight w:val="none"/>
                <w:lang w:eastAsia="en-US"/>
              </w:rPr>
              <w:t>预处理</w:t>
            </w:r>
            <w:r>
              <w:rPr>
                <w:rFonts w:ascii="Calibri" w:hAnsi="Calibri"/>
                <w:highlight w:val="none"/>
                <w:lang w:eastAsia="en-US"/>
              </w:rPr>
              <w:t>单元</w:t>
            </w:r>
          </w:p>
        </w:tc>
      </w:tr>
      <w:tr w14:paraId="5EBB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4DC0CC24">
            <w:pPr>
              <w:pStyle w:val="121"/>
              <w:spacing w:line="480" w:lineRule="exact"/>
              <w:rPr>
                <w:rFonts w:ascii="Calibri" w:hAnsi="Calibri"/>
                <w:highlight w:val="none"/>
                <w:lang w:eastAsia="en-US"/>
              </w:rPr>
            </w:pPr>
            <w:r>
              <w:rPr>
                <w:rFonts w:ascii="Calibri" w:hAnsi="Calibri"/>
                <w:highlight w:val="none"/>
                <w:lang w:eastAsia="en-US"/>
              </w:rPr>
              <w:t>1.1</w:t>
            </w:r>
          </w:p>
        </w:tc>
        <w:tc>
          <w:tcPr>
            <w:tcW w:w="1057" w:type="dxa"/>
            <w:shd w:val="clear" w:color="auto" w:fill="auto"/>
            <w:vAlign w:val="center"/>
          </w:tcPr>
          <w:p w14:paraId="239327C1">
            <w:pPr>
              <w:pStyle w:val="121"/>
              <w:spacing w:line="480" w:lineRule="exact"/>
              <w:rPr>
                <w:rFonts w:ascii="Calibri" w:hAnsi="Calibri"/>
                <w:b/>
                <w:bCs/>
                <w:highlight w:val="none"/>
                <w:lang w:eastAsia="en-US"/>
              </w:rPr>
            </w:pPr>
            <w:r>
              <w:rPr>
                <w:rFonts w:hint="eastAsia" w:ascii="Calibri" w:hAnsi="Calibri"/>
                <w:b/>
                <w:bCs/>
                <w:highlight w:val="none"/>
                <w:lang w:eastAsia="en-US"/>
              </w:rPr>
              <w:t>★接料装置</w:t>
            </w:r>
          </w:p>
        </w:tc>
        <w:tc>
          <w:tcPr>
            <w:tcW w:w="7170" w:type="dxa"/>
            <w:shd w:val="clear" w:color="auto" w:fill="auto"/>
            <w:vAlign w:val="center"/>
          </w:tcPr>
          <w:p w14:paraId="40477B7E">
            <w:pPr>
              <w:pStyle w:val="121"/>
              <w:numPr>
                <w:ilvl w:val="0"/>
                <w:numId w:val="4"/>
              </w:numPr>
              <w:spacing w:line="480" w:lineRule="exact"/>
              <w:jc w:val="both"/>
              <w:rPr>
                <w:rFonts w:ascii="Calibri" w:hAnsi="Calibri"/>
                <w:b/>
                <w:bCs/>
                <w:highlight w:val="none"/>
                <w:lang w:eastAsia="en-US"/>
              </w:rPr>
            </w:pPr>
            <w:r>
              <w:rPr>
                <w:rFonts w:hint="eastAsia" w:ascii="Calibri" w:hAnsi="Calibri"/>
                <w:b/>
                <w:bCs/>
                <w:highlight w:val="none"/>
                <w:lang w:eastAsia="en-US"/>
              </w:rPr>
              <w:t>料斗容积：20方；液压功率：3KW；</w:t>
            </w:r>
            <w:r>
              <w:rPr>
                <w:rFonts w:hint="eastAsia" w:ascii="Calibri" w:hAnsi="Calibri"/>
                <w:b/>
                <w:bCs/>
                <w:highlight w:val="none"/>
                <w:lang w:eastAsia="en-US"/>
              </w:rPr>
              <w:br w:type="textWrapping"/>
            </w:r>
            <w:r>
              <w:rPr>
                <w:rFonts w:hint="eastAsia" w:ascii="Calibri" w:hAnsi="Calibri"/>
                <w:b/>
                <w:bCs/>
                <w:highlight w:val="none"/>
                <w:lang w:eastAsia="en-US"/>
              </w:rPr>
              <w:t>2、密封负压除臭；内置加热管路；液压控制折叠滑动式料斗盖；</w:t>
            </w:r>
            <w:r>
              <w:rPr>
                <w:rFonts w:hint="eastAsia" w:ascii="Calibri" w:hAnsi="Calibri"/>
                <w:b/>
                <w:bCs/>
                <w:highlight w:val="none"/>
                <w:lang w:eastAsia="en-US"/>
              </w:rPr>
              <w:br w:type="textWrapping"/>
            </w:r>
            <w:r>
              <w:rPr>
                <w:rFonts w:hint="eastAsia" w:ascii="Calibri" w:hAnsi="Calibri"/>
                <w:b/>
                <w:bCs/>
                <w:highlight w:val="none"/>
                <w:lang w:eastAsia="en-US"/>
              </w:rPr>
              <w:t>3、不锈钢粗选-防护栅格，栅格间隙200mm；</w:t>
            </w:r>
            <w:r>
              <w:rPr>
                <w:rFonts w:hint="eastAsia" w:ascii="Calibri" w:hAnsi="Calibri"/>
                <w:b/>
                <w:bCs/>
                <w:highlight w:val="none"/>
                <w:lang w:eastAsia="en-US"/>
              </w:rPr>
              <w:br w:type="textWrapping"/>
            </w:r>
            <w:r>
              <w:rPr>
                <w:rFonts w:hint="eastAsia" w:ascii="Calibri" w:hAnsi="Calibri"/>
                <w:b/>
                <w:bCs/>
                <w:highlight w:val="none"/>
                <w:lang w:eastAsia="en-US"/>
              </w:rPr>
              <w:t>4、材质：壳体304不锈钢，板厚：3mm-5mm；机架碳钢防腐；</w:t>
            </w:r>
          </w:p>
          <w:p w14:paraId="56DBD9FF">
            <w:pPr>
              <w:pStyle w:val="121"/>
              <w:spacing w:line="480" w:lineRule="exact"/>
              <w:jc w:val="both"/>
              <w:rPr>
                <w:rFonts w:ascii="Calibri" w:hAnsi="Calibri"/>
                <w:b/>
                <w:bCs/>
                <w:highlight w:val="none"/>
                <w:lang w:eastAsia="en-US"/>
              </w:rPr>
            </w:pPr>
            <w:r>
              <w:rPr>
                <w:rFonts w:hint="eastAsia" w:ascii="Calibri" w:hAnsi="Calibri"/>
                <w:b/>
                <w:bCs/>
                <w:highlight w:val="none"/>
                <w:lang w:eastAsia="en-US"/>
              </w:rPr>
              <w:t>（提供具备CMA认证的第三方检测机构出具的检测报告上传至电子投标文件中）</w:t>
            </w:r>
          </w:p>
        </w:tc>
        <w:tc>
          <w:tcPr>
            <w:tcW w:w="451" w:type="dxa"/>
            <w:shd w:val="clear" w:color="auto" w:fill="auto"/>
            <w:vAlign w:val="center"/>
          </w:tcPr>
          <w:p w14:paraId="292F550A">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4258C421">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09BE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67FF4AB8">
            <w:pPr>
              <w:pStyle w:val="121"/>
              <w:spacing w:line="480" w:lineRule="exact"/>
              <w:rPr>
                <w:rFonts w:ascii="Calibri" w:hAnsi="Calibri"/>
                <w:highlight w:val="none"/>
                <w:lang w:eastAsia="en-US"/>
              </w:rPr>
            </w:pPr>
            <w:r>
              <w:rPr>
                <w:rFonts w:ascii="Calibri" w:hAnsi="Calibri"/>
                <w:highlight w:val="none"/>
                <w:lang w:eastAsia="en-US"/>
              </w:rPr>
              <w:t>1.2</w:t>
            </w:r>
          </w:p>
        </w:tc>
        <w:tc>
          <w:tcPr>
            <w:tcW w:w="1057" w:type="dxa"/>
            <w:shd w:val="clear" w:color="auto" w:fill="auto"/>
            <w:vAlign w:val="center"/>
          </w:tcPr>
          <w:p w14:paraId="517EB3B1">
            <w:pPr>
              <w:pStyle w:val="121"/>
              <w:spacing w:line="480" w:lineRule="exact"/>
              <w:rPr>
                <w:rFonts w:ascii="Calibri" w:hAnsi="Calibri"/>
                <w:highlight w:val="none"/>
                <w:lang w:eastAsia="en-US"/>
              </w:rPr>
            </w:pPr>
            <w:r>
              <w:rPr>
                <w:rFonts w:hint="eastAsia" w:ascii="Calibri" w:hAnsi="Calibri"/>
                <w:highlight w:val="none"/>
                <w:lang w:eastAsia="en-US"/>
              </w:rPr>
              <w:t>沥水螺旋</w:t>
            </w:r>
          </w:p>
        </w:tc>
        <w:tc>
          <w:tcPr>
            <w:tcW w:w="7170" w:type="dxa"/>
            <w:shd w:val="clear" w:color="auto" w:fill="auto"/>
            <w:vAlign w:val="center"/>
          </w:tcPr>
          <w:p w14:paraId="13B8D80F">
            <w:pPr>
              <w:pStyle w:val="121"/>
              <w:spacing w:line="480" w:lineRule="exact"/>
              <w:jc w:val="both"/>
              <w:rPr>
                <w:rFonts w:ascii="Calibri" w:hAnsi="Calibri"/>
                <w:highlight w:val="none"/>
                <w:lang w:eastAsia="en-US"/>
              </w:rPr>
            </w:pPr>
            <w:r>
              <w:rPr>
                <w:rFonts w:hint="eastAsia" w:ascii="Calibri" w:hAnsi="Calibri"/>
                <w:highlight w:val="none"/>
                <w:lang w:eastAsia="en-US"/>
              </w:rPr>
              <w:t>1、无轴螺旋，输送量：8～10t/h；减速电机功率：7.5KW；</w:t>
            </w:r>
            <w:r>
              <w:rPr>
                <w:rFonts w:hint="eastAsia" w:ascii="Calibri" w:hAnsi="Calibri"/>
                <w:highlight w:val="none"/>
                <w:lang w:eastAsia="en-US"/>
              </w:rPr>
              <w:br w:type="textWrapping"/>
            </w:r>
            <w:r>
              <w:rPr>
                <w:rFonts w:hint="eastAsia" w:ascii="Calibri" w:hAnsi="Calibri"/>
                <w:highlight w:val="none"/>
                <w:lang w:eastAsia="en-US"/>
              </w:rPr>
              <w:t>2、螺旋可变频调速，可正反转，过载保护；采用快修支架结构；</w:t>
            </w:r>
            <w:r>
              <w:rPr>
                <w:rFonts w:hint="eastAsia" w:ascii="Calibri" w:hAnsi="Calibri"/>
                <w:highlight w:val="none"/>
                <w:lang w:eastAsia="en-US"/>
              </w:rPr>
              <w:br w:type="textWrapping"/>
            </w:r>
            <w:r>
              <w:rPr>
                <w:rFonts w:hint="eastAsia" w:ascii="Calibri" w:hAnsi="Calibri"/>
                <w:highlight w:val="none"/>
                <w:lang w:eastAsia="en-US"/>
              </w:rPr>
              <w:t>3、材质：壳体-盖板不锈钢，板厚：3mm；螺旋16Mn；衬板超高分子UPE+304楔网；机架碳钢防腐；</w:t>
            </w:r>
          </w:p>
        </w:tc>
        <w:tc>
          <w:tcPr>
            <w:tcW w:w="451" w:type="dxa"/>
            <w:shd w:val="clear" w:color="auto" w:fill="auto"/>
            <w:vAlign w:val="center"/>
          </w:tcPr>
          <w:p w14:paraId="57838AB7">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2EC68BB3">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5C03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238DE727">
            <w:pPr>
              <w:pStyle w:val="121"/>
              <w:spacing w:line="480" w:lineRule="exact"/>
              <w:rPr>
                <w:rFonts w:ascii="Calibri" w:hAnsi="Calibri"/>
                <w:highlight w:val="none"/>
                <w:lang w:eastAsia="en-US"/>
              </w:rPr>
            </w:pPr>
            <w:r>
              <w:rPr>
                <w:rFonts w:ascii="Calibri" w:hAnsi="Calibri"/>
                <w:highlight w:val="none"/>
                <w:lang w:eastAsia="en-US"/>
              </w:rPr>
              <w:t>1.</w:t>
            </w:r>
            <w:r>
              <w:rPr>
                <w:rFonts w:hint="eastAsia" w:ascii="Calibri" w:hAnsi="Calibri"/>
                <w:highlight w:val="none"/>
                <w:lang w:eastAsia="en-US"/>
              </w:rPr>
              <w:t>3</w:t>
            </w:r>
          </w:p>
        </w:tc>
        <w:tc>
          <w:tcPr>
            <w:tcW w:w="1057" w:type="dxa"/>
            <w:shd w:val="clear" w:color="auto" w:fill="auto"/>
            <w:vAlign w:val="center"/>
          </w:tcPr>
          <w:p w14:paraId="72E03F88">
            <w:pPr>
              <w:pStyle w:val="121"/>
              <w:spacing w:line="480" w:lineRule="exact"/>
              <w:rPr>
                <w:rFonts w:ascii="Calibri" w:hAnsi="Calibri"/>
                <w:b/>
                <w:bCs/>
                <w:highlight w:val="none"/>
                <w:lang w:eastAsia="en-US"/>
              </w:rPr>
            </w:pPr>
            <w:r>
              <w:rPr>
                <w:rFonts w:hint="eastAsia" w:ascii="Calibri" w:hAnsi="Calibri"/>
                <w:b/>
                <w:bCs/>
                <w:highlight w:val="none"/>
                <w:lang w:eastAsia="en-US"/>
              </w:rPr>
              <w:t>★粗分水洗机</w:t>
            </w:r>
          </w:p>
        </w:tc>
        <w:tc>
          <w:tcPr>
            <w:tcW w:w="7170" w:type="dxa"/>
            <w:shd w:val="clear" w:color="auto" w:fill="auto"/>
            <w:vAlign w:val="center"/>
          </w:tcPr>
          <w:p w14:paraId="3BA0164D">
            <w:pPr>
              <w:pStyle w:val="121"/>
              <w:numPr>
                <w:ilvl w:val="0"/>
                <w:numId w:val="5"/>
              </w:numPr>
              <w:spacing w:line="480" w:lineRule="exact"/>
              <w:jc w:val="both"/>
              <w:rPr>
                <w:rFonts w:ascii="Calibri" w:hAnsi="Calibri"/>
                <w:b/>
                <w:bCs/>
                <w:highlight w:val="none"/>
                <w:lang w:eastAsia="en-US"/>
              </w:rPr>
            </w:pPr>
            <w:r>
              <w:rPr>
                <w:rFonts w:hint="eastAsia" w:ascii="Calibri" w:hAnsi="Calibri"/>
                <w:b/>
                <w:bCs/>
                <w:highlight w:val="none"/>
                <w:lang w:eastAsia="en-US"/>
              </w:rPr>
              <w:t>大物质自动分选；处理量：8～10t/h；功率：滚筒11kW，螺旋4kW；</w:t>
            </w:r>
            <w:r>
              <w:rPr>
                <w:rFonts w:hint="eastAsia" w:ascii="Calibri" w:hAnsi="Calibri"/>
                <w:b/>
                <w:bCs/>
                <w:highlight w:val="none"/>
                <w:lang w:eastAsia="en-US"/>
              </w:rPr>
              <w:br w:type="textWrapping"/>
            </w:r>
            <w:r>
              <w:rPr>
                <w:rFonts w:hint="eastAsia" w:ascii="Calibri" w:hAnsi="Calibri"/>
                <w:b/>
                <w:bCs/>
                <w:highlight w:val="none"/>
                <w:lang w:eastAsia="en-US"/>
              </w:rPr>
              <w:t>2、滚筒变频调速，带破袋功能；可水洗脱油脱盐；采用螺旋进出料；</w:t>
            </w:r>
            <w:r>
              <w:rPr>
                <w:rFonts w:hint="eastAsia" w:ascii="Calibri" w:hAnsi="Calibri"/>
                <w:b/>
                <w:bCs/>
                <w:highlight w:val="none"/>
                <w:lang w:eastAsia="en-US"/>
              </w:rPr>
              <w:br w:type="textWrapping"/>
            </w:r>
            <w:r>
              <w:rPr>
                <w:rFonts w:hint="eastAsia" w:ascii="Calibri" w:hAnsi="Calibri"/>
                <w:b/>
                <w:bCs/>
                <w:highlight w:val="none"/>
                <w:lang w:eastAsia="en-US"/>
              </w:rPr>
              <w:t>3、材质：分选机主体304不锈钢，机架碳钢防腐；螺旋壳体304不锈钢；螺旋16Mn；衬板超高分子UPE；</w:t>
            </w:r>
          </w:p>
          <w:p w14:paraId="405B7219">
            <w:pPr>
              <w:pStyle w:val="121"/>
              <w:spacing w:line="480" w:lineRule="exact"/>
              <w:jc w:val="both"/>
              <w:rPr>
                <w:rFonts w:ascii="Calibri" w:hAnsi="Calibri"/>
                <w:b/>
                <w:bCs/>
                <w:highlight w:val="none"/>
                <w:lang w:eastAsia="en-US"/>
              </w:rPr>
            </w:pPr>
            <w:r>
              <w:rPr>
                <w:rFonts w:hint="eastAsia" w:ascii="Calibri" w:hAnsi="Calibri"/>
                <w:b/>
                <w:bCs/>
                <w:highlight w:val="none"/>
                <w:lang w:eastAsia="en-US"/>
              </w:rPr>
              <w:t>（提供具备CMA认证的第三方检测机构出具的检测报告上传至电子投标文件中）</w:t>
            </w:r>
          </w:p>
        </w:tc>
        <w:tc>
          <w:tcPr>
            <w:tcW w:w="451" w:type="dxa"/>
            <w:shd w:val="clear" w:color="auto" w:fill="auto"/>
            <w:vAlign w:val="center"/>
          </w:tcPr>
          <w:p w14:paraId="40542579">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379F1A9F">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582C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0" w:hRule="atLeast"/>
          <w:jc w:val="center"/>
        </w:trPr>
        <w:tc>
          <w:tcPr>
            <w:tcW w:w="511" w:type="dxa"/>
            <w:shd w:val="clear" w:color="auto" w:fill="auto"/>
            <w:vAlign w:val="center"/>
          </w:tcPr>
          <w:p w14:paraId="606B57E6">
            <w:pPr>
              <w:pStyle w:val="121"/>
              <w:spacing w:line="480" w:lineRule="exact"/>
              <w:rPr>
                <w:rFonts w:ascii="Calibri" w:hAnsi="Calibri"/>
                <w:highlight w:val="none"/>
                <w:lang w:eastAsia="en-US"/>
              </w:rPr>
            </w:pPr>
            <w:r>
              <w:rPr>
                <w:rFonts w:ascii="Calibri" w:hAnsi="Calibri"/>
                <w:highlight w:val="none"/>
                <w:lang w:eastAsia="en-US"/>
              </w:rPr>
              <w:t>1.</w:t>
            </w:r>
            <w:r>
              <w:rPr>
                <w:rFonts w:hint="eastAsia" w:ascii="Calibri" w:hAnsi="Calibri"/>
                <w:highlight w:val="none"/>
                <w:lang w:eastAsia="en-US"/>
              </w:rPr>
              <w:t>4</w:t>
            </w:r>
          </w:p>
        </w:tc>
        <w:tc>
          <w:tcPr>
            <w:tcW w:w="1057" w:type="dxa"/>
            <w:shd w:val="clear" w:color="auto" w:fill="auto"/>
            <w:vAlign w:val="center"/>
          </w:tcPr>
          <w:p w14:paraId="5592155B">
            <w:pPr>
              <w:pStyle w:val="121"/>
              <w:spacing w:line="480" w:lineRule="exact"/>
              <w:rPr>
                <w:rFonts w:ascii="Calibri" w:hAnsi="Calibri"/>
                <w:highlight w:val="none"/>
                <w:lang w:eastAsia="en-US"/>
              </w:rPr>
            </w:pPr>
            <w:r>
              <w:rPr>
                <w:rFonts w:hint="eastAsia" w:ascii="Calibri" w:hAnsi="Calibri"/>
                <w:highlight w:val="none"/>
                <w:lang w:eastAsia="en-US"/>
              </w:rPr>
              <w:t>提升螺旋</w:t>
            </w:r>
          </w:p>
        </w:tc>
        <w:tc>
          <w:tcPr>
            <w:tcW w:w="7170" w:type="dxa"/>
            <w:shd w:val="clear" w:color="auto" w:fill="auto"/>
            <w:vAlign w:val="center"/>
          </w:tcPr>
          <w:p w14:paraId="4D670206">
            <w:pPr>
              <w:pStyle w:val="121"/>
              <w:spacing w:line="480" w:lineRule="exact"/>
              <w:jc w:val="both"/>
              <w:rPr>
                <w:rFonts w:ascii="Calibri" w:hAnsi="Calibri"/>
                <w:highlight w:val="none"/>
                <w:lang w:eastAsia="en-US"/>
              </w:rPr>
            </w:pPr>
            <w:r>
              <w:rPr>
                <w:rFonts w:hint="eastAsia" w:ascii="Calibri" w:hAnsi="Calibri"/>
                <w:highlight w:val="none"/>
                <w:lang w:eastAsia="en-US"/>
              </w:rPr>
              <w:t>1、无轴螺旋，输送量：8～10t/h；减速电机功率：7.5KW；过载保护；采用快修支架结构；</w:t>
            </w:r>
            <w:r>
              <w:rPr>
                <w:rFonts w:hint="eastAsia" w:ascii="Calibri" w:hAnsi="Calibri"/>
                <w:highlight w:val="none"/>
                <w:lang w:eastAsia="en-US"/>
              </w:rPr>
              <w:br w:type="textWrapping"/>
            </w:r>
            <w:r>
              <w:rPr>
                <w:rFonts w:hint="eastAsia" w:ascii="Calibri" w:hAnsi="Calibri"/>
                <w:highlight w:val="none"/>
                <w:lang w:eastAsia="en-US"/>
              </w:rPr>
              <w:t>2、材质：壳体-盖板不锈钢，板厚：3mm；螺旋16Mn；衬板超高分子UPE+304楔网；机架碳钢防腐；</w:t>
            </w:r>
          </w:p>
        </w:tc>
        <w:tc>
          <w:tcPr>
            <w:tcW w:w="451" w:type="dxa"/>
            <w:shd w:val="clear" w:color="auto" w:fill="auto"/>
            <w:vAlign w:val="center"/>
          </w:tcPr>
          <w:p w14:paraId="5FD0A08F">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678A1DC4">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3F4C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5AAD3130">
            <w:pPr>
              <w:pStyle w:val="121"/>
              <w:spacing w:line="480" w:lineRule="exact"/>
              <w:rPr>
                <w:rFonts w:ascii="Calibri" w:hAnsi="Calibri"/>
                <w:highlight w:val="none"/>
                <w:lang w:eastAsia="en-US"/>
              </w:rPr>
            </w:pPr>
            <w:r>
              <w:rPr>
                <w:rFonts w:ascii="Calibri" w:hAnsi="Calibri"/>
                <w:highlight w:val="none"/>
                <w:lang w:eastAsia="en-US"/>
              </w:rPr>
              <w:t>1.</w:t>
            </w:r>
            <w:r>
              <w:rPr>
                <w:rFonts w:hint="eastAsia" w:ascii="Calibri" w:hAnsi="Calibri"/>
                <w:highlight w:val="none"/>
                <w:lang w:eastAsia="en-US"/>
              </w:rPr>
              <w:t>5</w:t>
            </w:r>
          </w:p>
        </w:tc>
        <w:tc>
          <w:tcPr>
            <w:tcW w:w="1057" w:type="dxa"/>
            <w:shd w:val="clear" w:color="auto" w:fill="auto"/>
            <w:vAlign w:val="center"/>
          </w:tcPr>
          <w:p w14:paraId="528E303F">
            <w:pPr>
              <w:pStyle w:val="121"/>
              <w:spacing w:line="480" w:lineRule="exact"/>
              <w:rPr>
                <w:rFonts w:ascii="Calibri" w:hAnsi="Calibri"/>
                <w:b/>
                <w:bCs/>
                <w:highlight w:val="none"/>
                <w:lang w:eastAsia="en-US"/>
              </w:rPr>
            </w:pPr>
            <w:bookmarkStart w:id="26" w:name="OLE_LINK11"/>
            <w:bookmarkStart w:id="27" w:name="OLE_LINK12"/>
            <w:r>
              <w:rPr>
                <w:rFonts w:hint="eastAsia" w:ascii="Calibri" w:hAnsi="Calibri"/>
                <w:b/>
                <w:bCs/>
                <w:highlight w:val="none"/>
                <w:lang w:eastAsia="en-US"/>
              </w:rPr>
              <w:t>★</w:t>
            </w:r>
            <w:bookmarkEnd w:id="26"/>
            <w:bookmarkEnd w:id="27"/>
            <w:r>
              <w:rPr>
                <w:rFonts w:hint="eastAsia" w:ascii="Calibri" w:hAnsi="Calibri"/>
                <w:b/>
                <w:bCs/>
                <w:highlight w:val="none"/>
                <w:lang w:eastAsia="en-US"/>
              </w:rPr>
              <w:t>破碎制浆分选一体机</w:t>
            </w:r>
          </w:p>
        </w:tc>
        <w:tc>
          <w:tcPr>
            <w:tcW w:w="7170" w:type="dxa"/>
            <w:shd w:val="clear" w:color="auto" w:fill="auto"/>
            <w:vAlign w:val="center"/>
          </w:tcPr>
          <w:p w14:paraId="4E448B10">
            <w:pPr>
              <w:pStyle w:val="121"/>
              <w:spacing w:line="480" w:lineRule="exact"/>
              <w:jc w:val="both"/>
              <w:rPr>
                <w:rFonts w:ascii="Calibri" w:hAnsi="Calibri"/>
                <w:b/>
                <w:bCs/>
                <w:highlight w:val="none"/>
                <w:lang w:eastAsia="en-US"/>
              </w:rPr>
            </w:pPr>
            <w:r>
              <w:rPr>
                <w:rFonts w:hint="eastAsia" w:ascii="Calibri" w:hAnsi="Calibri"/>
                <w:b/>
                <w:bCs/>
                <w:highlight w:val="none"/>
                <w:lang w:eastAsia="en-US"/>
              </w:rPr>
              <w:t>1、处理量：8～10t/h；功率P=45kW；</w:t>
            </w:r>
            <w:r>
              <w:rPr>
                <w:rFonts w:hint="eastAsia" w:ascii="Calibri" w:hAnsi="Calibri"/>
                <w:b/>
                <w:bCs/>
                <w:highlight w:val="none"/>
                <w:lang w:eastAsia="en-US"/>
              </w:rPr>
              <w:br w:type="textWrapping"/>
            </w:r>
            <w:r>
              <w:rPr>
                <w:rFonts w:hint="eastAsia" w:ascii="Calibri" w:hAnsi="Calibri"/>
                <w:b/>
                <w:bCs/>
                <w:highlight w:val="none"/>
                <w:lang w:eastAsia="en-US"/>
              </w:rPr>
              <w:t>2、变频电机调速；剖分式重载轴承座；自清洗结构；双重过载保护；</w:t>
            </w:r>
            <w:r>
              <w:rPr>
                <w:rFonts w:hint="eastAsia" w:ascii="Calibri" w:hAnsi="Calibri"/>
                <w:b/>
                <w:bCs/>
                <w:highlight w:val="none"/>
                <w:lang w:eastAsia="en-US"/>
              </w:rPr>
              <w:br w:type="textWrapping"/>
            </w:r>
            <w:r>
              <w:rPr>
                <w:rFonts w:hint="eastAsia" w:ascii="Calibri" w:hAnsi="Calibri"/>
                <w:b/>
                <w:bCs/>
                <w:highlight w:val="none"/>
                <w:lang w:eastAsia="en-US"/>
              </w:rPr>
              <w:t>3、材质：主体材质304不锈钢+高锰钢；转子为高锰钢堆焊耐磨合金；机架碳钢防腐；钢构橡胶减震器；进口PVC或氟胶布软连接；</w:t>
            </w:r>
          </w:p>
          <w:p w14:paraId="04B298C2">
            <w:pPr>
              <w:pStyle w:val="121"/>
              <w:spacing w:line="480" w:lineRule="exact"/>
              <w:jc w:val="both"/>
              <w:rPr>
                <w:rFonts w:ascii="Calibri" w:hAnsi="Calibri"/>
                <w:b/>
                <w:bCs/>
                <w:highlight w:val="none"/>
                <w:lang w:eastAsia="en-US"/>
              </w:rPr>
            </w:pPr>
            <w:r>
              <w:rPr>
                <w:rFonts w:hint="eastAsia" w:ascii="Calibri" w:hAnsi="Calibri"/>
                <w:b/>
                <w:bCs/>
                <w:highlight w:val="none"/>
                <w:lang w:eastAsia="en-US"/>
              </w:rPr>
              <w:t>（提供具备CMA认证的第三方检测机构出具的检测报告上传至电子投标文件中）</w:t>
            </w:r>
          </w:p>
        </w:tc>
        <w:tc>
          <w:tcPr>
            <w:tcW w:w="451" w:type="dxa"/>
            <w:shd w:val="clear" w:color="auto" w:fill="auto"/>
            <w:vAlign w:val="center"/>
          </w:tcPr>
          <w:p w14:paraId="52C2D706">
            <w:pPr>
              <w:pStyle w:val="121"/>
              <w:spacing w:line="480" w:lineRule="exact"/>
              <w:rPr>
                <w:rFonts w:ascii="宋体" w:hAnsi="宋体" w:cs="宋体"/>
                <w:b/>
                <w:bCs/>
                <w:color w:val="000000"/>
                <w:sz w:val="22"/>
                <w:highlight w:val="none"/>
                <w:lang w:eastAsia="en-US"/>
              </w:rPr>
            </w:pPr>
            <w:r>
              <w:rPr>
                <w:rFonts w:ascii="Calibri" w:hAnsi="Calibri"/>
                <w:b/>
                <w:bCs/>
                <w:highlight w:val="none"/>
                <w:lang w:eastAsia="en-US"/>
              </w:rPr>
              <w:t>套</w:t>
            </w:r>
          </w:p>
        </w:tc>
        <w:tc>
          <w:tcPr>
            <w:tcW w:w="621" w:type="dxa"/>
            <w:shd w:val="clear" w:color="auto" w:fill="auto"/>
            <w:vAlign w:val="center"/>
          </w:tcPr>
          <w:p w14:paraId="2AF7F886">
            <w:pPr>
              <w:pStyle w:val="121"/>
              <w:spacing w:line="480" w:lineRule="exact"/>
              <w:rPr>
                <w:rFonts w:ascii="Calibri" w:hAnsi="Calibri"/>
                <w:b/>
                <w:bCs/>
                <w:highlight w:val="none"/>
                <w:lang w:eastAsia="en-US"/>
              </w:rPr>
            </w:pPr>
            <w:r>
              <w:rPr>
                <w:rFonts w:hint="eastAsia" w:ascii="Calibri" w:hAnsi="Calibri"/>
                <w:b/>
                <w:bCs/>
                <w:highlight w:val="none"/>
                <w:lang w:eastAsia="en-US"/>
              </w:rPr>
              <w:t>1</w:t>
            </w:r>
          </w:p>
        </w:tc>
      </w:tr>
      <w:tr w14:paraId="4907D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3EB7261B">
            <w:pPr>
              <w:pStyle w:val="121"/>
              <w:spacing w:line="480" w:lineRule="exact"/>
              <w:rPr>
                <w:rFonts w:ascii="Calibri" w:hAnsi="Calibri"/>
                <w:highlight w:val="none"/>
                <w:lang w:eastAsia="en-US"/>
              </w:rPr>
            </w:pPr>
            <w:bookmarkStart w:id="28" w:name="_Hlk214294415"/>
            <w:r>
              <w:rPr>
                <w:rFonts w:ascii="Calibri" w:hAnsi="Calibri"/>
                <w:highlight w:val="none"/>
                <w:lang w:eastAsia="en-US"/>
              </w:rPr>
              <w:t>1.</w:t>
            </w:r>
            <w:r>
              <w:rPr>
                <w:rFonts w:hint="eastAsia" w:ascii="Calibri" w:hAnsi="Calibri"/>
                <w:highlight w:val="none"/>
                <w:lang w:eastAsia="en-US"/>
              </w:rPr>
              <w:t>6</w:t>
            </w:r>
          </w:p>
        </w:tc>
        <w:tc>
          <w:tcPr>
            <w:tcW w:w="1057" w:type="dxa"/>
            <w:shd w:val="clear" w:color="auto" w:fill="auto"/>
            <w:vAlign w:val="center"/>
          </w:tcPr>
          <w:p w14:paraId="0CD4B486">
            <w:pPr>
              <w:pStyle w:val="121"/>
              <w:spacing w:line="480" w:lineRule="exact"/>
              <w:rPr>
                <w:rFonts w:ascii="Calibri" w:hAnsi="Calibri"/>
                <w:highlight w:val="none"/>
                <w:lang w:eastAsia="en-US"/>
              </w:rPr>
            </w:pPr>
            <w:r>
              <w:rPr>
                <w:rFonts w:hint="eastAsia" w:ascii="Calibri" w:hAnsi="Calibri"/>
                <w:highlight w:val="none"/>
                <w:lang w:eastAsia="en-US"/>
              </w:rPr>
              <w:t>出渣螺旋</w:t>
            </w:r>
          </w:p>
        </w:tc>
        <w:tc>
          <w:tcPr>
            <w:tcW w:w="7170" w:type="dxa"/>
            <w:shd w:val="clear" w:color="auto" w:fill="auto"/>
            <w:vAlign w:val="center"/>
          </w:tcPr>
          <w:p w14:paraId="6725D818">
            <w:pPr>
              <w:pStyle w:val="121"/>
              <w:spacing w:line="480" w:lineRule="exact"/>
              <w:jc w:val="both"/>
              <w:rPr>
                <w:rFonts w:ascii="Calibri" w:hAnsi="Calibri"/>
                <w:highlight w:val="none"/>
                <w:lang w:eastAsia="en-US"/>
              </w:rPr>
            </w:pPr>
            <w:r>
              <w:rPr>
                <w:rFonts w:hint="eastAsia" w:ascii="Calibri" w:hAnsi="Calibri"/>
                <w:highlight w:val="none"/>
                <w:lang w:eastAsia="en-US"/>
              </w:rPr>
              <w:t>1、无轴螺旋，输送量：5t/h；减速电机功率：4KW；过载保护；采用快修支架结构；</w:t>
            </w:r>
            <w:r>
              <w:rPr>
                <w:rFonts w:hint="eastAsia" w:ascii="Calibri" w:hAnsi="Calibri"/>
                <w:highlight w:val="none"/>
                <w:lang w:eastAsia="en-US"/>
              </w:rPr>
              <w:br w:type="textWrapping"/>
            </w:r>
            <w:r>
              <w:rPr>
                <w:rFonts w:hint="eastAsia" w:ascii="Calibri" w:hAnsi="Calibri"/>
                <w:highlight w:val="none"/>
                <w:lang w:eastAsia="en-US"/>
              </w:rPr>
              <w:t>2、材质：壳体-盖板不锈钢，板厚：3mm；螺旋16Mn；衬板超高分子UPE+304楔网；机架碳钢防腐；</w:t>
            </w:r>
          </w:p>
        </w:tc>
        <w:tc>
          <w:tcPr>
            <w:tcW w:w="451" w:type="dxa"/>
            <w:shd w:val="clear" w:color="auto" w:fill="auto"/>
            <w:vAlign w:val="center"/>
          </w:tcPr>
          <w:p w14:paraId="11F9772B">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7C1529F3">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4E9DD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19C6BC3C">
            <w:pPr>
              <w:pStyle w:val="121"/>
              <w:spacing w:line="480" w:lineRule="exact"/>
              <w:rPr>
                <w:rFonts w:ascii="Calibri" w:hAnsi="Calibri"/>
                <w:highlight w:val="none"/>
                <w:lang w:eastAsia="en-US"/>
              </w:rPr>
            </w:pPr>
            <w:r>
              <w:rPr>
                <w:rFonts w:hint="eastAsia" w:ascii="Calibri" w:hAnsi="Calibri"/>
                <w:highlight w:val="none"/>
                <w:lang w:eastAsia="en-US"/>
              </w:rPr>
              <w:t>1.7</w:t>
            </w:r>
          </w:p>
        </w:tc>
        <w:tc>
          <w:tcPr>
            <w:tcW w:w="1057" w:type="dxa"/>
            <w:shd w:val="clear" w:color="auto" w:fill="auto"/>
            <w:vAlign w:val="center"/>
          </w:tcPr>
          <w:p w14:paraId="7D4E0AF9">
            <w:pPr>
              <w:pStyle w:val="121"/>
              <w:spacing w:line="480" w:lineRule="exact"/>
              <w:rPr>
                <w:rFonts w:ascii="Calibri" w:hAnsi="Calibri"/>
                <w:highlight w:val="none"/>
                <w:lang w:eastAsia="en-US"/>
              </w:rPr>
            </w:pPr>
            <w:r>
              <w:rPr>
                <w:rFonts w:hint="eastAsia" w:ascii="Calibri" w:hAnsi="Calibri"/>
                <w:highlight w:val="none"/>
                <w:lang w:eastAsia="en-US"/>
              </w:rPr>
              <w:t>提升螺旋</w:t>
            </w:r>
          </w:p>
        </w:tc>
        <w:tc>
          <w:tcPr>
            <w:tcW w:w="7170" w:type="dxa"/>
            <w:shd w:val="clear" w:color="auto" w:fill="auto"/>
            <w:vAlign w:val="center"/>
          </w:tcPr>
          <w:p w14:paraId="263CCF68">
            <w:pPr>
              <w:pStyle w:val="121"/>
              <w:spacing w:line="480" w:lineRule="exact"/>
              <w:jc w:val="both"/>
              <w:rPr>
                <w:rFonts w:ascii="Calibri" w:hAnsi="Calibri"/>
                <w:highlight w:val="none"/>
                <w:lang w:eastAsia="en-US"/>
              </w:rPr>
            </w:pPr>
            <w:r>
              <w:rPr>
                <w:rFonts w:hint="eastAsia" w:ascii="Calibri" w:hAnsi="Calibri"/>
                <w:highlight w:val="none"/>
                <w:lang w:eastAsia="en-US"/>
              </w:rPr>
              <w:t>1、无轴螺旋，输送量：8～10t/h；减速电机功率：5.5KW；</w:t>
            </w:r>
            <w:r>
              <w:rPr>
                <w:rFonts w:hint="eastAsia" w:ascii="Calibri" w:hAnsi="Calibri"/>
                <w:highlight w:val="none"/>
                <w:lang w:eastAsia="en-US"/>
              </w:rPr>
              <w:br w:type="textWrapping"/>
            </w:r>
            <w:r>
              <w:rPr>
                <w:rFonts w:hint="eastAsia" w:ascii="Calibri" w:hAnsi="Calibri"/>
                <w:highlight w:val="none"/>
                <w:lang w:eastAsia="en-US"/>
              </w:rPr>
              <w:t>2、螺旋可变频调速，过载保护；采用快修支架结构；</w:t>
            </w:r>
            <w:r>
              <w:rPr>
                <w:rFonts w:hint="eastAsia" w:ascii="Calibri" w:hAnsi="Calibri"/>
                <w:highlight w:val="none"/>
                <w:lang w:eastAsia="en-US"/>
              </w:rPr>
              <w:br w:type="textWrapping"/>
            </w:r>
            <w:r>
              <w:rPr>
                <w:rFonts w:hint="eastAsia" w:ascii="Calibri" w:hAnsi="Calibri"/>
                <w:highlight w:val="none"/>
                <w:lang w:eastAsia="en-US"/>
              </w:rPr>
              <w:t>3、材质：壳体-盖板不锈钢，板厚：3mm；螺旋16Mn；衬板超高分子UPE+304楔网；机架碳钢防腐；</w:t>
            </w:r>
          </w:p>
        </w:tc>
        <w:tc>
          <w:tcPr>
            <w:tcW w:w="451" w:type="dxa"/>
            <w:shd w:val="clear" w:color="auto" w:fill="auto"/>
            <w:vAlign w:val="center"/>
          </w:tcPr>
          <w:p w14:paraId="51512A6D">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0E98E703">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3038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6756854E">
            <w:pPr>
              <w:pStyle w:val="121"/>
              <w:spacing w:line="480" w:lineRule="exact"/>
              <w:rPr>
                <w:rFonts w:ascii="Calibri" w:hAnsi="Calibri"/>
                <w:highlight w:val="none"/>
                <w:lang w:eastAsia="en-US"/>
              </w:rPr>
            </w:pPr>
            <w:r>
              <w:rPr>
                <w:rFonts w:hint="eastAsia" w:ascii="Calibri" w:hAnsi="Calibri"/>
                <w:highlight w:val="none"/>
                <w:lang w:eastAsia="en-US"/>
              </w:rPr>
              <w:t>1.8</w:t>
            </w:r>
          </w:p>
        </w:tc>
        <w:tc>
          <w:tcPr>
            <w:tcW w:w="1057" w:type="dxa"/>
            <w:shd w:val="clear" w:color="auto" w:fill="auto"/>
            <w:vAlign w:val="center"/>
          </w:tcPr>
          <w:p w14:paraId="7870DFD4">
            <w:pPr>
              <w:pStyle w:val="121"/>
              <w:spacing w:line="480" w:lineRule="exact"/>
              <w:rPr>
                <w:rFonts w:ascii="Calibri" w:hAnsi="Calibri"/>
                <w:highlight w:val="none"/>
                <w:lang w:eastAsia="en-US"/>
              </w:rPr>
            </w:pPr>
            <w:r>
              <w:rPr>
                <w:rFonts w:hint="eastAsia" w:ascii="Calibri" w:hAnsi="Calibri"/>
                <w:highlight w:val="none"/>
                <w:lang w:eastAsia="en-US"/>
              </w:rPr>
              <w:t>渣料脱水机</w:t>
            </w:r>
          </w:p>
        </w:tc>
        <w:tc>
          <w:tcPr>
            <w:tcW w:w="7170" w:type="dxa"/>
            <w:shd w:val="clear" w:color="auto" w:fill="auto"/>
            <w:vAlign w:val="center"/>
          </w:tcPr>
          <w:p w14:paraId="6544F1ED">
            <w:pPr>
              <w:pStyle w:val="121"/>
              <w:spacing w:line="480" w:lineRule="exact"/>
              <w:jc w:val="both"/>
              <w:rPr>
                <w:rFonts w:ascii="Calibri" w:hAnsi="Calibri"/>
                <w:highlight w:val="none"/>
                <w:lang w:eastAsia="en-US"/>
              </w:rPr>
            </w:pPr>
            <w:r>
              <w:rPr>
                <w:rFonts w:hint="eastAsia" w:ascii="Calibri" w:hAnsi="Calibri"/>
                <w:highlight w:val="none"/>
                <w:lang w:eastAsia="en-US"/>
              </w:rPr>
              <w:t>1、高速离心式除杂除砂机；处理量：8～10t/h；功率：22KW；</w:t>
            </w:r>
            <w:r>
              <w:rPr>
                <w:rFonts w:hint="eastAsia" w:ascii="Calibri" w:hAnsi="Calibri"/>
                <w:highlight w:val="none"/>
                <w:lang w:eastAsia="en-US"/>
              </w:rPr>
              <w:br w:type="textWrapping"/>
            </w:r>
            <w:r>
              <w:rPr>
                <w:rFonts w:hint="eastAsia" w:ascii="Calibri" w:hAnsi="Calibri"/>
                <w:highlight w:val="none"/>
                <w:lang w:eastAsia="en-US"/>
              </w:rPr>
              <w:t>2、变频调速处理量可控；全自动清洗结构；重载剖分式轴承；</w:t>
            </w:r>
            <w:r>
              <w:rPr>
                <w:rFonts w:hint="eastAsia" w:ascii="Calibri" w:hAnsi="Calibri"/>
                <w:highlight w:val="none"/>
                <w:lang w:eastAsia="en-US"/>
              </w:rPr>
              <w:br w:type="textWrapping"/>
            </w:r>
            <w:r>
              <w:rPr>
                <w:rFonts w:hint="eastAsia" w:ascii="Calibri" w:hAnsi="Calibri"/>
                <w:highlight w:val="none"/>
                <w:lang w:eastAsia="en-US"/>
              </w:rPr>
              <w:t>3、材质：主体为304不锈钢；转子推进冲击面堆焊耐磨合金；钢构橡胶减震器；机架材质碳钢防腐200*100矩形管；进口PVC或氟胶布软连接；</w:t>
            </w:r>
          </w:p>
        </w:tc>
        <w:tc>
          <w:tcPr>
            <w:tcW w:w="451" w:type="dxa"/>
            <w:shd w:val="clear" w:color="auto" w:fill="auto"/>
            <w:vAlign w:val="center"/>
          </w:tcPr>
          <w:p w14:paraId="4AC5BB37">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653CEA71">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27D8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0136F18D">
            <w:pPr>
              <w:pStyle w:val="121"/>
              <w:spacing w:line="480" w:lineRule="exact"/>
              <w:rPr>
                <w:rFonts w:ascii="Calibri" w:hAnsi="Calibri"/>
                <w:highlight w:val="none"/>
                <w:lang w:eastAsia="en-US"/>
              </w:rPr>
            </w:pPr>
            <w:r>
              <w:rPr>
                <w:rFonts w:hint="eastAsia" w:ascii="Calibri" w:hAnsi="Calibri"/>
                <w:highlight w:val="none"/>
                <w:lang w:eastAsia="en-US"/>
              </w:rPr>
              <w:t>1.9</w:t>
            </w:r>
          </w:p>
        </w:tc>
        <w:tc>
          <w:tcPr>
            <w:tcW w:w="1057" w:type="dxa"/>
            <w:shd w:val="clear" w:color="auto" w:fill="auto"/>
            <w:vAlign w:val="center"/>
          </w:tcPr>
          <w:p w14:paraId="5744476C">
            <w:pPr>
              <w:pStyle w:val="121"/>
              <w:spacing w:line="480" w:lineRule="exact"/>
              <w:rPr>
                <w:rFonts w:ascii="Calibri" w:hAnsi="Calibri"/>
                <w:highlight w:val="none"/>
                <w:lang w:eastAsia="en-US"/>
              </w:rPr>
            </w:pPr>
            <w:r>
              <w:rPr>
                <w:rFonts w:hint="eastAsia" w:ascii="Calibri" w:hAnsi="Calibri"/>
                <w:highlight w:val="none"/>
                <w:lang w:eastAsia="en-US"/>
              </w:rPr>
              <w:t>细渣螺旋</w:t>
            </w:r>
          </w:p>
        </w:tc>
        <w:tc>
          <w:tcPr>
            <w:tcW w:w="7170" w:type="dxa"/>
            <w:shd w:val="clear" w:color="auto" w:fill="auto"/>
            <w:vAlign w:val="center"/>
          </w:tcPr>
          <w:p w14:paraId="7A3B4FC7">
            <w:pPr>
              <w:pStyle w:val="121"/>
              <w:spacing w:line="480" w:lineRule="exact"/>
              <w:jc w:val="both"/>
              <w:rPr>
                <w:rFonts w:ascii="Calibri" w:hAnsi="Calibri"/>
                <w:highlight w:val="none"/>
                <w:lang w:eastAsia="en-US"/>
              </w:rPr>
            </w:pPr>
            <w:r>
              <w:rPr>
                <w:rFonts w:hint="eastAsia" w:ascii="Calibri" w:hAnsi="Calibri"/>
                <w:highlight w:val="none"/>
                <w:lang w:eastAsia="en-US"/>
              </w:rPr>
              <w:t>1、无轴螺旋，输送量：5t/h；减速电机功率：4KW；过载保护；采用快修支架结构；</w:t>
            </w:r>
            <w:r>
              <w:rPr>
                <w:rFonts w:hint="eastAsia" w:ascii="Calibri" w:hAnsi="Calibri"/>
                <w:highlight w:val="none"/>
                <w:lang w:eastAsia="en-US"/>
              </w:rPr>
              <w:br w:type="textWrapping"/>
            </w:r>
            <w:r>
              <w:rPr>
                <w:rFonts w:hint="eastAsia" w:ascii="Calibri" w:hAnsi="Calibri"/>
                <w:highlight w:val="none"/>
                <w:lang w:eastAsia="en-US"/>
              </w:rPr>
              <w:t>2、材质：壳体-盖板不锈钢，板厚：3mm；螺旋16Mn；衬板超高分子UPE+304楔网；机架碳钢防腐；</w:t>
            </w:r>
          </w:p>
        </w:tc>
        <w:tc>
          <w:tcPr>
            <w:tcW w:w="451" w:type="dxa"/>
            <w:shd w:val="clear" w:color="auto" w:fill="auto"/>
            <w:vAlign w:val="center"/>
          </w:tcPr>
          <w:p w14:paraId="0BDF20A1">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0A127AEC">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5538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1A53D895">
            <w:pPr>
              <w:pStyle w:val="121"/>
              <w:spacing w:line="480" w:lineRule="exact"/>
              <w:rPr>
                <w:rFonts w:ascii="Calibri" w:hAnsi="Calibri"/>
                <w:highlight w:val="none"/>
                <w:lang w:eastAsia="en-US"/>
              </w:rPr>
            </w:pPr>
            <w:r>
              <w:rPr>
                <w:rFonts w:hint="eastAsia" w:ascii="Calibri" w:hAnsi="Calibri"/>
                <w:highlight w:val="none"/>
                <w:lang w:eastAsia="en-US"/>
              </w:rPr>
              <w:t>1.10</w:t>
            </w:r>
          </w:p>
        </w:tc>
        <w:tc>
          <w:tcPr>
            <w:tcW w:w="1057" w:type="dxa"/>
            <w:shd w:val="clear" w:color="auto" w:fill="auto"/>
            <w:vAlign w:val="center"/>
          </w:tcPr>
          <w:p w14:paraId="4FA4F726">
            <w:pPr>
              <w:pStyle w:val="121"/>
              <w:spacing w:line="480" w:lineRule="exact"/>
              <w:rPr>
                <w:rFonts w:ascii="Calibri" w:hAnsi="Calibri"/>
                <w:highlight w:val="none"/>
                <w:lang w:eastAsia="en-US"/>
              </w:rPr>
            </w:pPr>
            <w:r>
              <w:rPr>
                <w:rFonts w:hint="eastAsia" w:ascii="Calibri" w:hAnsi="Calibri"/>
                <w:highlight w:val="none"/>
                <w:lang w:eastAsia="en-US"/>
              </w:rPr>
              <w:t>汇总螺旋</w:t>
            </w:r>
          </w:p>
        </w:tc>
        <w:tc>
          <w:tcPr>
            <w:tcW w:w="7170" w:type="dxa"/>
            <w:shd w:val="clear" w:color="auto" w:fill="auto"/>
            <w:vAlign w:val="center"/>
          </w:tcPr>
          <w:p w14:paraId="63A38A8F">
            <w:pPr>
              <w:pStyle w:val="121"/>
              <w:spacing w:line="480" w:lineRule="exact"/>
              <w:jc w:val="both"/>
              <w:rPr>
                <w:rFonts w:ascii="Calibri" w:hAnsi="Calibri"/>
                <w:highlight w:val="none"/>
                <w:lang w:eastAsia="en-US"/>
              </w:rPr>
            </w:pPr>
            <w:r>
              <w:rPr>
                <w:rFonts w:hint="eastAsia" w:ascii="Calibri" w:hAnsi="Calibri"/>
                <w:highlight w:val="none"/>
                <w:lang w:eastAsia="en-US"/>
              </w:rPr>
              <w:t>1、无轴螺旋，输送量：5～8t/h；减速电机功率：7.5KW；过载保护；采用快修支架结构；</w:t>
            </w:r>
            <w:r>
              <w:rPr>
                <w:rFonts w:hint="eastAsia" w:ascii="Calibri" w:hAnsi="Calibri"/>
                <w:highlight w:val="none"/>
                <w:lang w:eastAsia="en-US"/>
              </w:rPr>
              <w:br w:type="textWrapping"/>
            </w:r>
            <w:r>
              <w:rPr>
                <w:rFonts w:hint="eastAsia" w:ascii="Calibri" w:hAnsi="Calibri"/>
                <w:highlight w:val="none"/>
                <w:lang w:eastAsia="en-US"/>
              </w:rPr>
              <w:t>2、材质：壳体-盖板不锈钢，板厚：3mm；螺旋16Mn；衬板超高分子UPE+304楔网；机架碳钢防腐；</w:t>
            </w:r>
          </w:p>
        </w:tc>
        <w:tc>
          <w:tcPr>
            <w:tcW w:w="451" w:type="dxa"/>
            <w:shd w:val="clear" w:color="auto" w:fill="auto"/>
            <w:vAlign w:val="center"/>
          </w:tcPr>
          <w:p w14:paraId="228F7AAD">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69A37964">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6EAAA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3210E65D">
            <w:pPr>
              <w:pStyle w:val="121"/>
              <w:spacing w:line="480" w:lineRule="exact"/>
              <w:rPr>
                <w:rFonts w:ascii="Calibri" w:hAnsi="Calibri"/>
                <w:highlight w:val="none"/>
                <w:lang w:eastAsia="en-US"/>
              </w:rPr>
            </w:pPr>
            <w:r>
              <w:rPr>
                <w:rFonts w:hint="eastAsia" w:ascii="Calibri" w:hAnsi="Calibri"/>
                <w:highlight w:val="none"/>
                <w:lang w:eastAsia="en-US"/>
              </w:rPr>
              <w:t>1.11</w:t>
            </w:r>
          </w:p>
        </w:tc>
        <w:tc>
          <w:tcPr>
            <w:tcW w:w="1057" w:type="dxa"/>
            <w:shd w:val="clear" w:color="auto" w:fill="auto"/>
            <w:vAlign w:val="center"/>
          </w:tcPr>
          <w:p w14:paraId="2F9D5072">
            <w:pPr>
              <w:pStyle w:val="121"/>
              <w:spacing w:line="480" w:lineRule="exact"/>
              <w:rPr>
                <w:rFonts w:ascii="Calibri" w:hAnsi="Calibri"/>
                <w:highlight w:val="none"/>
                <w:lang w:eastAsia="en-US"/>
              </w:rPr>
            </w:pPr>
            <w:r>
              <w:rPr>
                <w:rFonts w:hint="eastAsia" w:ascii="Calibri" w:hAnsi="Calibri"/>
                <w:highlight w:val="none"/>
                <w:lang w:eastAsia="en-US"/>
              </w:rPr>
              <w:t>分料螺旋</w:t>
            </w:r>
          </w:p>
        </w:tc>
        <w:tc>
          <w:tcPr>
            <w:tcW w:w="7170" w:type="dxa"/>
            <w:shd w:val="clear" w:color="auto" w:fill="auto"/>
            <w:vAlign w:val="center"/>
          </w:tcPr>
          <w:p w14:paraId="4C8660A3">
            <w:pPr>
              <w:pStyle w:val="121"/>
              <w:spacing w:line="480" w:lineRule="exact"/>
              <w:jc w:val="both"/>
              <w:rPr>
                <w:rFonts w:ascii="Calibri" w:hAnsi="Calibri"/>
                <w:highlight w:val="none"/>
                <w:lang w:eastAsia="en-US"/>
              </w:rPr>
            </w:pPr>
            <w:r>
              <w:rPr>
                <w:rFonts w:hint="eastAsia" w:ascii="Calibri" w:hAnsi="Calibri"/>
                <w:highlight w:val="none"/>
                <w:lang w:eastAsia="en-US"/>
              </w:rPr>
              <w:t>1、无轴螺旋，输送量：5t/h；减速电机功率：7.5KW；过载保护；采用快修支架结构；</w:t>
            </w:r>
            <w:r>
              <w:rPr>
                <w:rFonts w:hint="eastAsia" w:ascii="Calibri" w:hAnsi="Calibri"/>
                <w:highlight w:val="none"/>
                <w:lang w:eastAsia="en-US"/>
              </w:rPr>
              <w:br w:type="textWrapping"/>
            </w:r>
            <w:r>
              <w:rPr>
                <w:rFonts w:hint="eastAsia" w:ascii="Calibri" w:hAnsi="Calibri"/>
                <w:highlight w:val="none"/>
                <w:lang w:eastAsia="en-US"/>
              </w:rPr>
              <w:t>2、材质：壳体-盖板不锈钢，板厚：3mm；螺旋16Mn；衬板超高分子UPE+304楔网；机架碳钢防腐；</w:t>
            </w:r>
          </w:p>
        </w:tc>
        <w:tc>
          <w:tcPr>
            <w:tcW w:w="451" w:type="dxa"/>
            <w:shd w:val="clear" w:color="auto" w:fill="auto"/>
            <w:vAlign w:val="center"/>
          </w:tcPr>
          <w:p w14:paraId="29BF92F2">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43BB1AC3">
            <w:pPr>
              <w:pStyle w:val="121"/>
              <w:spacing w:line="480" w:lineRule="exact"/>
              <w:rPr>
                <w:rFonts w:ascii="Calibri" w:hAnsi="Calibri"/>
                <w:highlight w:val="none"/>
                <w:lang w:eastAsia="en-US"/>
              </w:rPr>
            </w:pPr>
            <w:r>
              <w:rPr>
                <w:rFonts w:hint="eastAsia" w:ascii="Calibri" w:hAnsi="Calibri"/>
                <w:highlight w:val="none"/>
                <w:lang w:eastAsia="en-US"/>
              </w:rPr>
              <w:t>2</w:t>
            </w:r>
          </w:p>
        </w:tc>
      </w:tr>
      <w:bookmarkEnd w:id="28"/>
      <w:tr w14:paraId="4857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71F271D8">
            <w:pPr>
              <w:pStyle w:val="121"/>
              <w:spacing w:line="480" w:lineRule="exact"/>
              <w:rPr>
                <w:rFonts w:ascii="Calibri" w:hAnsi="Calibri"/>
                <w:highlight w:val="none"/>
                <w:lang w:eastAsia="en-US"/>
              </w:rPr>
            </w:pPr>
            <w:r>
              <w:rPr>
                <w:rFonts w:ascii="Calibri" w:hAnsi="Calibri"/>
                <w:highlight w:val="none"/>
                <w:lang w:eastAsia="en-US"/>
              </w:rPr>
              <w:t>二</w:t>
            </w:r>
          </w:p>
        </w:tc>
        <w:tc>
          <w:tcPr>
            <w:tcW w:w="9299" w:type="dxa"/>
            <w:gridSpan w:val="4"/>
            <w:shd w:val="clear" w:color="auto" w:fill="auto"/>
            <w:vAlign w:val="center"/>
          </w:tcPr>
          <w:p w14:paraId="33AAF0C3">
            <w:pPr>
              <w:pStyle w:val="121"/>
              <w:spacing w:line="480" w:lineRule="exact"/>
              <w:rPr>
                <w:rFonts w:ascii="Calibri" w:hAnsi="Calibri"/>
                <w:highlight w:val="none"/>
                <w:lang w:eastAsia="en-US"/>
              </w:rPr>
            </w:pPr>
            <w:r>
              <w:rPr>
                <w:rFonts w:ascii="Calibri" w:hAnsi="Calibri"/>
                <w:highlight w:val="none"/>
                <w:lang w:eastAsia="en-US"/>
              </w:rPr>
              <w:t>好氧发酵</w:t>
            </w:r>
            <w:r>
              <w:rPr>
                <w:rFonts w:hint="eastAsia" w:ascii="Calibri" w:hAnsi="Calibri"/>
                <w:highlight w:val="none"/>
                <w:lang w:eastAsia="en-US"/>
              </w:rPr>
              <w:t>单元</w:t>
            </w:r>
          </w:p>
        </w:tc>
      </w:tr>
      <w:tr w14:paraId="171CF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541C91FC">
            <w:pPr>
              <w:pStyle w:val="121"/>
              <w:spacing w:line="480" w:lineRule="exact"/>
              <w:rPr>
                <w:rFonts w:ascii="Calibri" w:hAnsi="Calibri"/>
                <w:highlight w:val="none"/>
                <w:lang w:eastAsia="en-US"/>
              </w:rPr>
            </w:pPr>
            <w:r>
              <w:rPr>
                <w:rFonts w:ascii="Calibri" w:hAnsi="Calibri"/>
                <w:highlight w:val="none"/>
                <w:lang w:eastAsia="en-US"/>
              </w:rPr>
              <w:t>2.1</w:t>
            </w:r>
          </w:p>
        </w:tc>
        <w:tc>
          <w:tcPr>
            <w:tcW w:w="1057" w:type="dxa"/>
            <w:shd w:val="clear" w:color="auto" w:fill="auto"/>
            <w:vAlign w:val="center"/>
          </w:tcPr>
          <w:p w14:paraId="3F1A4173">
            <w:pPr>
              <w:pStyle w:val="121"/>
              <w:spacing w:line="480" w:lineRule="exact"/>
              <w:rPr>
                <w:rFonts w:ascii="Calibri" w:hAnsi="Calibri"/>
                <w:highlight w:val="none"/>
                <w:lang w:eastAsia="en-US"/>
              </w:rPr>
            </w:pPr>
            <w:r>
              <w:rPr>
                <w:rFonts w:ascii="Calibri" w:hAnsi="Calibri"/>
                <w:highlight w:val="none"/>
                <w:lang w:eastAsia="en-US"/>
              </w:rPr>
              <w:t>电动插板阀</w:t>
            </w:r>
          </w:p>
        </w:tc>
        <w:tc>
          <w:tcPr>
            <w:tcW w:w="7170" w:type="dxa"/>
            <w:shd w:val="clear" w:color="auto" w:fill="auto"/>
            <w:vAlign w:val="center"/>
          </w:tcPr>
          <w:p w14:paraId="39DD1878">
            <w:pPr>
              <w:pStyle w:val="121"/>
              <w:spacing w:line="480" w:lineRule="exact"/>
              <w:jc w:val="both"/>
              <w:rPr>
                <w:rFonts w:ascii="Calibri" w:hAnsi="Calibri"/>
                <w:highlight w:val="none"/>
                <w:lang w:eastAsia="en-US"/>
              </w:rPr>
            </w:pPr>
            <w:r>
              <w:rPr>
                <w:rFonts w:ascii="Calibri" w:hAnsi="Calibri"/>
                <w:highlight w:val="none"/>
                <w:lang w:eastAsia="en-US"/>
              </w:rPr>
              <w:t>不锈钢插板阀；智能电控电动缸；功率：60W；</w:t>
            </w:r>
          </w:p>
        </w:tc>
        <w:tc>
          <w:tcPr>
            <w:tcW w:w="451" w:type="dxa"/>
            <w:shd w:val="clear" w:color="auto" w:fill="auto"/>
            <w:vAlign w:val="center"/>
          </w:tcPr>
          <w:p w14:paraId="6CEEB4F2">
            <w:pPr>
              <w:pStyle w:val="121"/>
              <w:spacing w:line="480" w:lineRule="exact"/>
              <w:rPr>
                <w:rFonts w:ascii="Calibri" w:hAnsi="Calibri"/>
                <w:highlight w:val="none"/>
                <w:lang w:eastAsia="en-US"/>
              </w:rPr>
            </w:pPr>
            <w:bookmarkStart w:id="29" w:name="OLE_LINK81"/>
            <w:bookmarkStart w:id="30" w:name="OLE_LINK82"/>
            <w:r>
              <w:rPr>
                <w:rFonts w:ascii="Calibri" w:hAnsi="Calibri"/>
                <w:highlight w:val="none"/>
                <w:lang w:eastAsia="en-US"/>
              </w:rPr>
              <w:t>套</w:t>
            </w:r>
            <w:bookmarkEnd w:id="29"/>
            <w:bookmarkEnd w:id="30"/>
          </w:p>
        </w:tc>
        <w:tc>
          <w:tcPr>
            <w:tcW w:w="621" w:type="dxa"/>
            <w:shd w:val="clear" w:color="auto" w:fill="auto"/>
            <w:vAlign w:val="center"/>
          </w:tcPr>
          <w:p w14:paraId="57929FC3">
            <w:pPr>
              <w:pStyle w:val="121"/>
              <w:spacing w:line="480" w:lineRule="exact"/>
              <w:rPr>
                <w:rFonts w:ascii="Calibri" w:hAnsi="Calibri"/>
                <w:highlight w:val="none"/>
                <w:lang w:eastAsia="en-US"/>
              </w:rPr>
            </w:pPr>
            <w:r>
              <w:rPr>
                <w:rFonts w:hint="eastAsia" w:ascii="Calibri" w:hAnsi="Calibri"/>
                <w:highlight w:val="none"/>
                <w:lang w:eastAsia="en-US"/>
              </w:rPr>
              <w:t>4</w:t>
            </w:r>
          </w:p>
        </w:tc>
      </w:tr>
      <w:tr w14:paraId="0C70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2" w:hRule="atLeast"/>
          <w:jc w:val="center"/>
        </w:trPr>
        <w:tc>
          <w:tcPr>
            <w:tcW w:w="511" w:type="dxa"/>
            <w:shd w:val="clear" w:color="auto" w:fill="auto"/>
            <w:vAlign w:val="center"/>
          </w:tcPr>
          <w:p w14:paraId="61110647">
            <w:pPr>
              <w:pStyle w:val="121"/>
              <w:spacing w:line="480" w:lineRule="exact"/>
              <w:rPr>
                <w:rFonts w:ascii="Calibri" w:hAnsi="Calibri"/>
                <w:highlight w:val="none"/>
                <w:lang w:eastAsia="en-US"/>
              </w:rPr>
            </w:pPr>
            <w:r>
              <w:rPr>
                <w:rFonts w:ascii="Calibri" w:hAnsi="Calibri"/>
                <w:highlight w:val="none"/>
                <w:lang w:eastAsia="en-US"/>
              </w:rPr>
              <w:t>2.2</w:t>
            </w:r>
          </w:p>
        </w:tc>
        <w:tc>
          <w:tcPr>
            <w:tcW w:w="1057" w:type="dxa"/>
            <w:shd w:val="clear" w:color="auto" w:fill="auto"/>
            <w:vAlign w:val="center"/>
          </w:tcPr>
          <w:p w14:paraId="79DE2CB1">
            <w:pPr>
              <w:pStyle w:val="121"/>
              <w:spacing w:line="480" w:lineRule="exact"/>
              <w:rPr>
                <w:rFonts w:ascii="Calibri" w:hAnsi="Calibri"/>
                <w:b/>
                <w:bCs/>
                <w:highlight w:val="none"/>
                <w:lang w:eastAsia="en-US"/>
              </w:rPr>
            </w:pPr>
            <w:r>
              <w:rPr>
                <w:rFonts w:hint="eastAsia" w:ascii="Calibri" w:hAnsi="Calibri"/>
                <w:b/>
                <w:bCs/>
                <w:highlight w:val="none"/>
                <w:lang w:eastAsia="en-US"/>
              </w:rPr>
              <w:t>★</w:t>
            </w:r>
            <w:r>
              <w:rPr>
                <w:rFonts w:ascii="Calibri" w:hAnsi="Calibri"/>
                <w:b/>
                <w:bCs/>
                <w:highlight w:val="none"/>
                <w:lang w:eastAsia="en-US"/>
              </w:rPr>
              <w:t>高温好氧发酵仓</w:t>
            </w:r>
          </w:p>
        </w:tc>
        <w:tc>
          <w:tcPr>
            <w:tcW w:w="7170" w:type="dxa"/>
            <w:shd w:val="clear" w:color="auto" w:fill="auto"/>
            <w:vAlign w:val="center"/>
          </w:tcPr>
          <w:p w14:paraId="0F7AFBC4">
            <w:pPr>
              <w:pStyle w:val="121"/>
              <w:spacing w:line="480" w:lineRule="exact"/>
              <w:jc w:val="both"/>
              <w:rPr>
                <w:rFonts w:ascii="Calibri" w:hAnsi="Calibri"/>
                <w:b/>
                <w:bCs/>
                <w:highlight w:val="none"/>
                <w:lang w:eastAsia="en-US"/>
              </w:rPr>
            </w:pPr>
            <w:bookmarkStart w:id="31" w:name="OLE_LINK31"/>
            <w:bookmarkStart w:id="32" w:name="OLE_LINK30"/>
            <w:r>
              <w:rPr>
                <w:rFonts w:hint="eastAsia" w:ascii="Calibri" w:hAnsi="Calibri"/>
                <w:b/>
                <w:bCs/>
                <w:highlight w:val="none"/>
                <w:lang w:eastAsia="en-US"/>
              </w:rPr>
              <w:t>1、仓容积：20方；总功率：60kW；PLC智能控制-全自动运行；</w:t>
            </w:r>
            <w:r>
              <w:rPr>
                <w:rFonts w:hint="eastAsia" w:ascii="Calibri" w:hAnsi="Calibri"/>
                <w:b/>
                <w:bCs/>
                <w:highlight w:val="none"/>
                <w:lang w:eastAsia="en-US"/>
              </w:rPr>
              <w:br w:type="textWrapping"/>
            </w:r>
            <w:r>
              <w:rPr>
                <w:rFonts w:hint="eastAsia" w:ascii="Calibri" w:hAnsi="Calibri"/>
                <w:b/>
                <w:bCs/>
                <w:highlight w:val="none"/>
                <w:lang w:eastAsia="en-US"/>
              </w:rPr>
              <w:t>2、搅拌18.5kW；管道加热器40KW；循环泵1.5KW；曝气风机5.5KW；</w:t>
            </w:r>
            <w:r>
              <w:rPr>
                <w:rFonts w:hint="eastAsia" w:ascii="Calibri" w:hAnsi="Calibri"/>
                <w:b/>
                <w:bCs/>
                <w:highlight w:val="none"/>
                <w:lang w:eastAsia="en-US"/>
              </w:rPr>
              <w:br w:type="textWrapping"/>
            </w:r>
            <w:r>
              <w:rPr>
                <w:rFonts w:hint="eastAsia" w:ascii="Calibri" w:hAnsi="Calibri"/>
                <w:b/>
                <w:bCs/>
                <w:highlight w:val="none"/>
                <w:lang w:eastAsia="en-US"/>
              </w:rPr>
              <w:t>3、导热油循环加热或蒸汽加热；智能烘干结构；余热回收装置；</w:t>
            </w:r>
            <w:r>
              <w:rPr>
                <w:rFonts w:hint="eastAsia" w:ascii="Calibri" w:hAnsi="Calibri"/>
                <w:b/>
                <w:bCs/>
                <w:highlight w:val="none"/>
                <w:lang w:eastAsia="en-US"/>
              </w:rPr>
              <w:br w:type="textWrapping"/>
            </w:r>
            <w:r>
              <w:rPr>
                <w:rFonts w:hint="eastAsia" w:ascii="Calibri" w:hAnsi="Calibri"/>
                <w:b/>
                <w:bCs/>
                <w:highlight w:val="none"/>
                <w:lang w:eastAsia="en-US"/>
              </w:rPr>
              <w:t>4、直连式弹性联轴器；大扭矩行星减速机；仓顶带电动插板阀；</w:t>
            </w:r>
            <w:r>
              <w:rPr>
                <w:rFonts w:hint="eastAsia" w:ascii="Calibri" w:hAnsi="Calibri"/>
                <w:b/>
                <w:bCs/>
                <w:highlight w:val="none"/>
                <w:lang w:eastAsia="en-US"/>
              </w:rPr>
              <w:br w:type="textWrapping"/>
            </w:r>
            <w:r>
              <w:rPr>
                <w:rFonts w:hint="eastAsia" w:ascii="Calibri" w:hAnsi="Calibri"/>
                <w:b/>
                <w:bCs/>
                <w:highlight w:val="none"/>
                <w:lang w:eastAsia="en-US"/>
              </w:rPr>
              <w:t>5、材质：主体304不锈钢；机架碳钢防腐；</w:t>
            </w:r>
            <w:bookmarkEnd w:id="31"/>
            <w:bookmarkEnd w:id="32"/>
            <w:r>
              <w:rPr>
                <w:rFonts w:ascii="Calibri" w:hAnsi="Calibri"/>
                <w:b/>
                <w:bCs/>
                <w:highlight w:val="none"/>
                <w:lang w:eastAsia="en-US"/>
              </w:rPr>
              <w:t xml:space="preserve"> </w:t>
            </w:r>
          </w:p>
          <w:p w14:paraId="441D091E">
            <w:pPr>
              <w:pStyle w:val="121"/>
              <w:spacing w:line="480" w:lineRule="exact"/>
              <w:rPr>
                <w:rFonts w:ascii="Calibri" w:hAnsi="Calibri"/>
                <w:b/>
                <w:bCs/>
                <w:highlight w:val="none"/>
                <w:lang w:eastAsia="en-US"/>
              </w:rPr>
            </w:pPr>
            <w:r>
              <w:rPr>
                <w:rFonts w:hint="eastAsia" w:ascii="Calibri" w:hAnsi="Calibri"/>
                <w:b/>
                <w:bCs/>
                <w:highlight w:val="none"/>
                <w:lang w:eastAsia="en-US"/>
              </w:rPr>
              <w:t>（提供具备CMA认证的第三方检测机构出具的检测报告上传至电子投标文件中）</w:t>
            </w:r>
          </w:p>
        </w:tc>
        <w:tc>
          <w:tcPr>
            <w:tcW w:w="451" w:type="dxa"/>
            <w:shd w:val="clear" w:color="auto" w:fill="auto"/>
            <w:vAlign w:val="center"/>
          </w:tcPr>
          <w:p w14:paraId="5A15F702">
            <w:pPr>
              <w:pStyle w:val="121"/>
              <w:spacing w:line="480" w:lineRule="exact"/>
              <w:rPr>
                <w:rFonts w:ascii="Calibri" w:hAnsi="Calibri"/>
                <w:b/>
                <w:bCs/>
                <w:highlight w:val="none"/>
                <w:lang w:eastAsia="en-US"/>
              </w:rPr>
            </w:pPr>
            <w:r>
              <w:rPr>
                <w:rFonts w:ascii="Calibri" w:hAnsi="Calibri"/>
                <w:b/>
                <w:bCs/>
                <w:highlight w:val="none"/>
                <w:lang w:eastAsia="en-US"/>
              </w:rPr>
              <w:t>套</w:t>
            </w:r>
          </w:p>
        </w:tc>
        <w:tc>
          <w:tcPr>
            <w:tcW w:w="621" w:type="dxa"/>
            <w:shd w:val="clear" w:color="auto" w:fill="auto"/>
            <w:vAlign w:val="center"/>
          </w:tcPr>
          <w:p w14:paraId="3E7243FF">
            <w:pPr>
              <w:pStyle w:val="121"/>
              <w:spacing w:line="480" w:lineRule="exact"/>
              <w:rPr>
                <w:rFonts w:ascii="Calibri" w:hAnsi="Calibri"/>
                <w:b/>
                <w:bCs/>
                <w:highlight w:val="none"/>
                <w:lang w:eastAsia="en-US"/>
              </w:rPr>
            </w:pPr>
            <w:r>
              <w:rPr>
                <w:rFonts w:hint="eastAsia" w:ascii="Calibri" w:hAnsi="Calibri"/>
                <w:b/>
                <w:bCs/>
                <w:highlight w:val="none"/>
                <w:lang w:eastAsia="en-US"/>
              </w:rPr>
              <w:t>4</w:t>
            </w:r>
          </w:p>
        </w:tc>
      </w:tr>
      <w:tr w14:paraId="0339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627B9368">
            <w:pPr>
              <w:pStyle w:val="121"/>
              <w:spacing w:line="480" w:lineRule="exact"/>
              <w:rPr>
                <w:rFonts w:ascii="Calibri" w:hAnsi="Calibri"/>
                <w:highlight w:val="none"/>
                <w:lang w:eastAsia="en-US"/>
              </w:rPr>
            </w:pPr>
            <w:r>
              <w:rPr>
                <w:rFonts w:ascii="Calibri" w:hAnsi="Calibri"/>
                <w:highlight w:val="none"/>
                <w:lang w:eastAsia="en-US"/>
              </w:rPr>
              <w:t>2.3</w:t>
            </w:r>
          </w:p>
        </w:tc>
        <w:tc>
          <w:tcPr>
            <w:tcW w:w="1057" w:type="dxa"/>
            <w:shd w:val="clear" w:color="auto" w:fill="auto"/>
            <w:vAlign w:val="center"/>
          </w:tcPr>
          <w:p w14:paraId="228B38B5">
            <w:pPr>
              <w:pStyle w:val="121"/>
              <w:spacing w:line="480" w:lineRule="exact"/>
              <w:rPr>
                <w:rFonts w:ascii="Calibri" w:hAnsi="Calibri"/>
                <w:highlight w:val="none"/>
                <w:lang w:eastAsia="en-US"/>
              </w:rPr>
            </w:pPr>
            <w:r>
              <w:rPr>
                <w:rFonts w:ascii="Calibri" w:hAnsi="Calibri"/>
                <w:highlight w:val="none"/>
                <w:lang w:eastAsia="en-US"/>
              </w:rPr>
              <w:t>维护机架</w:t>
            </w:r>
          </w:p>
        </w:tc>
        <w:tc>
          <w:tcPr>
            <w:tcW w:w="7170" w:type="dxa"/>
            <w:shd w:val="clear" w:color="auto" w:fill="auto"/>
            <w:vAlign w:val="center"/>
          </w:tcPr>
          <w:p w14:paraId="1EC323B9">
            <w:pPr>
              <w:pStyle w:val="121"/>
              <w:spacing w:line="480" w:lineRule="exact"/>
              <w:rPr>
                <w:rFonts w:ascii="Calibri" w:hAnsi="Calibri"/>
                <w:highlight w:val="none"/>
                <w:lang w:eastAsia="en-US"/>
              </w:rPr>
            </w:pPr>
            <w:r>
              <w:rPr>
                <w:rFonts w:ascii="Calibri" w:hAnsi="Calibri"/>
                <w:highlight w:val="none"/>
                <w:lang w:eastAsia="en-US"/>
              </w:rPr>
              <w:t>含登仓梯、仓顶连接架、防护栏等；采用碳钢防腐制作</w:t>
            </w:r>
            <w:r>
              <w:rPr>
                <w:rFonts w:hint="eastAsia" w:ascii="Calibri" w:hAnsi="Calibri"/>
                <w:highlight w:val="none"/>
                <w:lang w:eastAsia="en-US"/>
              </w:rPr>
              <w:t>。</w:t>
            </w:r>
          </w:p>
        </w:tc>
        <w:tc>
          <w:tcPr>
            <w:tcW w:w="451" w:type="dxa"/>
            <w:shd w:val="clear" w:color="auto" w:fill="auto"/>
            <w:vAlign w:val="center"/>
          </w:tcPr>
          <w:p w14:paraId="70696161">
            <w:pPr>
              <w:pStyle w:val="121"/>
              <w:spacing w:line="480" w:lineRule="exact"/>
              <w:rPr>
                <w:rFonts w:ascii="Calibri" w:hAnsi="Calibri"/>
                <w:highlight w:val="none"/>
                <w:lang w:eastAsia="en-US"/>
              </w:rPr>
            </w:pPr>
            <w:bookmarkStart w:id="33" w:name="OLE_LINK90"/>
            <w:bookmarkStart w:id="34" w:name="OLE_LINK89"/>
            <w:r>
              <w:rPr>
                <w:rFonts w:ascii="Calibri" w:hAnsi="Calibri"/>
                <w:highlight w:val="none"/>
                <w:lang w:eastAsia="en-US"/>
              </w:rPr>
              <w:t>套</w:t>
            </w:r>
            <w:bookmarkEnd w:id="33"/>
            <w:bookmarkEnd w:id="34"/>
          </w:p>
        </w:tc>
        <w:tc>
          <w:tcPr>
            <w:tcW w:w="621" w:type="dxa"/>
            <w:shd w:val="clear" w:color="auto" w:fill="auto"/>
            <w:vAlign w:val="center"/>
          </w:tcPr>
          <w:p w14:paraId="5E9185BA">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16FC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2E503C96">
            <w:pPr>
              <w:pStyle w:val="121"/>
              <w:spacing w:line="480" w:lineRule="exact"/>
              <w:rPr>
                <w:rFonts w:ascii="Calibri" w:hAnsi="Calibri"/>
                <w:highlight w:val="none"/>
                <w:lang w:eastAsia="en-US"/>
              </w:rPr>
            </w:pPr>
            <w:r>
              <w:rPr>
                <w:rFonts w:ascii="Calibri" w:hAnsi="Calibri"/>
                <w:highlight w:val="none"/>
                <w:lang w:eastAsia="en-US"/>
              </w:rPr>
              <w:t>三</w:t>
            </w:r>
          </w:p>
        </w:tc>
        <w:tc>
          <w:tcPr>
            <w:tcW w:w="9299" w:type="dxa"/>
            <w:gridSpan w:val="4"/>
            <w:shd w:val="clear" w:color="auto" w:fill="auto"/>
            <w:vAlign w:val="center"/>
          </w:tcPr>
          <w:p w14:paraId="4764A180">
            <w:pPr>
              <w:pStyle w:val="121"/>
              <w:spacing w:line="480" w:lineRule="exact"/>
              <w:rPr>
                <w:rFonts w:ascii="Calibri" w:hAnsi="Calibri"/>
                <w:highlight w:val="none"/>
                <w:lang w:eastAsia="en-US"/>
              </w:rPr>
            </w:pPr>
            <w:r>
              <w:rPr>
                <w:rFonts w:ascii="Calibri" w:hAnsi="Calibri"/>
                <w:highlight w:val="none"/>
                <w:lang w:eastAsia="en-US"/>
              </w:rPr>
              <w:t>加热、粗油脂提取单元</w:t>
            </w:r>
          </w:p>
        </w:tc>
      </w:tr>
      <w:tr w14:paraId="3609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574486C2">
            <w:pPr>
              <w:pStyle w:val="121"/>
              <w:spacing w:line="480" w:lineRule="exact"/>
              <w:rPr>
                <w:rFonts w:ascii="Calibri" w:hAnsi="Calibri"/>
                <w:highlight w:val="none"/>
                <w:lang w:eastAsia="en-US"/>
              </w:rPr>
            </w:pPr>
            <w:r>
              <w:rPr>
                <w:rFonts w:ascii="Calibri" w:hAnsi="Calibri"/>
                <w:highlight w:val="none"/>
                <w:lang w:eastAsia="en-US"/>
              </w:rPr>
              <w:t>3.1</w:t>
            </w:r>
          </w:p>
        </w:tc>
        <w:tc>
          <w:tcPr>
            <w:tcW w:w="1057" w:type="dxa"/>
            <w:shd w:val="clear" w:color="auto" w:fill="auto"/>
            <w:vAlign w:val="center"/>
          </w:tcPr>
          <w:p w14:paraId="3D828424">
            <w:pPr>
              <w:pStyle w:val="121"/>
              <w:spacing w:line="480" w:lineRule="exact"/>
              <w:rPr>
                <w:rFonts w:ascii="Calibri" w:hAnsi="Calibri"/>
                <w:highlight w:val="none"/>
                <w:lang w:eastAsia="en-US"/>
              </w:rPr>
            </w:pPr>
            <w:r>
              <w:rPr>
                <w:rFonts w:hint="eastAsia" w:ascii="Calibri" w:hAnsi="Calibri"/>
                <w:highlight w:val="none"/>
                <w:lang w:eastAsia="en-US"/>
              </w:rPr>
              <w:t>集水池搅拌机</w:t>
            </w:r>
          </w:p>
        </w:tc>
        <w:tc>
          <w:tcPr>
            <w:tcW w:w="7170" w:type="dxa"/>
            <w:shd w:val="clear" w:color="auto" w:fill="auto"/>
            <w:vAlign w:val="center"/>
          </w:tcPr>
          <w:p w14:paraId="25C15D91">
            <w:pPr>
              <w:pStyle w:val="121"/>
              <w:spacing w:line="480" w:lineRule="exact"/>
              <w:rPr>
                <w:rFonts w:ascii="Calibri" w:hAnsi="Calibri"/>
                <w:highlight w:val="none"/>
                <w:lang w:eastAsia="en-US"/>
              </w:rPr>
            </w:pPr>
            <w:r>
              <w:rPr>
                <w:rFonts w:hint="eastAsia" w:ascii="Calibri" w:hAnsi="Calibri"/>
                <w:highlight w:val="none"/>
                <w:lang w:eastAsia="en-US"/>
              </w:rPr>
              <w:t>1、不锈钢搅拌机；双层搅拌桨叶；搅拌直径1600mm；搅拌机功率4KW；</w:t>
            </w:r>
            <w:r>
              <w:rPr>
                <w:rFonts w:hint="eastAsia" w:ascii="Calibri" w:hAnsi="Calibri"/>
                <w:highlight w:val="none"/>
                <w:lang w:eastAsia="en-US"/>
              </w:rPr>
              <w:br w:type="textWrapping"/>
            </w:r>
            <w:r>
              <w:rPr>
                <w:rFonts w:hint="eastAsia" w:ascii="Calibri" w:hAnsi="Calibri"/>
                <w:highlight w:val="none"/>
                <w:lang w:eastAsia="en-US"/>
              </w:rPr>
              <w:t>2、材质：304不锈钢；碳钢防腐机架；配套数显液位计；</w:t>
            </w:r>
          </w:p>
        </w:tc>
        <w:tc>
          <w:tcPr>
            <w:tcW w:w="451" w:type="dxa"/>
            <w:shd w:val="clear" w:color="auto" w:fill="auto"/>
            <w:vAlign w:val="center"/>
          </w:tcPr>
          <w:p w14:paraId="193AA887">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164CF5A9">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5274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2CD7009F">
            <w:pPr>
              <w:pStyle w:val="121"/>
              <w:spacing w:line="480" w:lineRule="exact"/>
              <w:rPr>
                <w:rFonts w:ascii="Calibri" w:hAnsi="Calibri"/>
                <w:highlight w:val="none"/>
                <w:lang w:eastAsia="en-US"/>
              </w:rPr>
            </w:pPr>
            <w:r>
              <w:rPr>
                <w:rFonts w:ascii="Calibri" w:hAnsi="Calibri"/>
                <w:highlight w:val="none"/>
                <w:lang w:eastAsia="en-US"/>
              </w:rPr>
              <w:t>3.2</w:t>
            </w:r>
          </w:p>
        </w:tc>
        <w:tc>
          <w:tcPr>
            <w:tcW w:w="1057" w:type="dxa"/>
            <w:shd w:val="clear" w:color="auto" w:fill="auto"/>
            <w:vAlign w:val="center"/>
          </w:tcPr>
          <w:p w14:paraId="6BFD66A0">
            <w:pPr>
              <w:pStyle w:val="121"/>
              <w:spacing w:line="480" w:lineRule="exact"/>
              <w:rPr>
                <w:rFonts w:ascii="Calibri" w:hAnsi="Calibri"/>
                <w:highlight w:val="none"/>
                <w:lang w:eastAsia="en-US"/>
              </w:rPr>
            </w:pPr>
            <w:r>
              <w:rPr>
                <w:rFonts w:hint="eastAsia" w:ascii="Calibri" w:hAnsi="Calibri"/>
                <w:highlight w:val="none"/>
                <w:lang w:eastAsia="en-US"/>
              </w:rPr>
              <w:t>集水池潜污泵</w:t>
            </w:r>
          </w:p>
        </w:tc>
        <w:tc>
          <w:tcPr>
            <w:tcW w:w="7170" w:type="dxa"/>
            <w:shd w:val="clear" w:color="auto" w:fill="auto"/>
            <w:vAlign w:val="center"/>
          </w:tcPr>
          <w:p w14:paraId="0CBBD40D">
            <w:pPr>
              <w:pStyle w:val="121"/>
              <w:spacing w:line="480" w:lineRule="exact"/>
              <w:rPr>
                <w:rFonts w:ascii="Calibri" w:hAnsi="Calibri"/>
                <w:highlight w:val="none"/>
                <w:lang w:eastAsia="en-US"/>
              </w:rPr>
            </w:pPr>
            <w:r>
              <w:rPr>
                <w:rFonts w:hint="eastAsia" w:ascii="Calibri" w:hAnsi="Calibri"/>
                <w:highlight w:val="none"/>
                <w:lang w:eastAsia="en-US"/>
              </w:rPr>
              <w:t>1、无堵塞潜污泵；泵流量：25m</w:t>
            </w:r>
            <w:r>
              <w:rPr>
                <w:rFonts w:hint="eastAsia" w:ascii="Calibri" w:hAnsi="Calibri"/>
                <w:highlight w:val="none"/>
                <w:vertAlign w:val="superscript"/>
                <w:lang w:eastAsia="en-US"/>
              </w:rPr>
              <w:t>3</w:t>
            </w:r>
            <w:r>
              <w:rPr>
                <w:rFonts w:hint="eastAsia" w:ascii="Calibri" w:hAnsi="Calibri"/>
                <w:highlight w:val="none"/>
                <w:lang w:eastAsia="en-US"/>
              </w:rPr>
              <w:t>/h；扬程：25米；功率4KW；</w:t>
            </w:r>
            <w:r>
              <w:rPr>
                <w:rFonts w:hint="eastAsia" w:ascii="Calibri" w:hAnsi="Calibri"/>
                <w:highlight w:val="none"/>
                <w:lang w:eastAsia="en-US"/>
              </w:rPr>
              <w:br w:type="textWrapping"/>
            </w:r>
            <w:r>
              <w:rPr>
                <w:rFonts w:hint="eastAsia" w:ascii="Calibri" w:hAnsi="Calibri"/>
                <w:highlight w:val="none"/>
                <w:lang w:eastAsia="en-US"/>
              </w:rPr>
              <w:t>2、泵头球铁+合金钢；进出口带挠性法兰-球阀，进口DN65，出口DN65；</w:t>
            </w:r>
          </w:p>
        </w:tc>
        <w:tc>
          <w:tcPr>
            <w:tcW w:w="451" w:type="dxa"/>
            <w:shd w:val="clear" w:color="auto" w:fill="auto"/>
            <w:vAlign w:val="center"/>
          </w:tcPr>
          <w:p w14:paraId="5C055552">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20D4704F">
            <w:pPr>
              <w:pStyle w:val="121"/>
              <w:spacing w:line="480" w:lineRule="exact"/>
              <w:rPr>
                <w:rFonts w:ascii="Calibri" w:hAnsi="Calibri"/>
                <w:highlight w:val="none"/>
                <w:lang w:eastAsia="en-US"/>
              </w:rPr>
            </w:pPr>
            <w:r>
              <w:rPr>
                <w:rFonts w:hint="eastAsia" w:ascii="Calibri" w:hAnsi="Calibri"/>
                <w:highlight w:val="none"/>
                <w:lang w:eastAsia="en-US"/>
              </w:rPr>
              <w:t>2</w:t>
            </w:r>
          </w:p>
        </w:tc>
      </w:tr>
      <w:tr w14:paraId="4F4F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7B402AD0">
            <w:pPr>
              <w:pStyle w:val="121"/>
              <w:spacing w:line="480" w:lineRule="exact"/>
              <w:rPr>
                <w:rFonts w:ascii="Calibri" w:hAnsi="Calibri"/>
                <w:highlight w:val="none"/>
                <w:lang w:eastAsia="en-US"/>
              </w:rPr>
            </w:pPr>
            <w:r>
              <w:rPr>
                <w:rFonts w:ascii="Calibri" w:hAnsi="Calibri"/>
                <w:highlight w:val="none"/>
                <w:lang w:eastAsia="en-US"/>
              </w:rPr>
              <w:t>3.3</w:t>
            </w:r>
          </w:p>
        </w:tc>
        <w:tc>
          <w:tcPr>
            <w:tcW w:w="1057" w:type="dxa"/>
            <w:shd w:val="clear" w:color="auto" w:fill="auto"/>
            <w:vAlign w:val="center"/>
          </w:tcPr>
          <w:p w14:paraId="6D212EC9">
            <w:pPr>
              <w:pStyle w:val="121"/>
              <w:spacing w:line="480" w:lineRule="exact"/>
              <w:rPr>
                <w:rFonts w:ascii="Calibri" w:hAnsi="Calibri"/>
                <w:highlight w:val="none"/>
                <w:lang w:eastAsia="en-US"/>
              </w:rPr>
            </w:pPr>
            <w:r>
              <w:rPr>
                <w:rFonts w:hint="eastAsia" w:ascii="Calibri" w:hAnsi="Calibri"/>
                <w:highlight w:val="none"/>
                <w:lang w:eastAsia="en-US"/>
              </w:rPr>
              <w:t>净水机组</w:t>
            </w:r>
          </w:p>
        </w:tc>
        <w:tc>
          <w:tcPr>
            <w:tcW w:w="7170" w:type="dxa"/>
            <w:shd w:val="clear" w:color="auto" w:fill="auto"/>
            <w:vAlign w:val="center"/>
          </w:tcPr>
          <w:p w14:paraId="3A0BBB52">
            <w:pPr>
              <w:pStyle w:val="121"/>
              <w:spacing w:line="480" w:lineRule="exact"/>
              <w:rPr>
                <w:rFonts w:ascii="Calibri" w:hAnsi="Calibri"/>
                <w:highlight w:val="none"/>
                <w:lang w:eastAsia="en-US"/>
              </w:rPr>
            </w:pPr>
            <w:r>
              <w:rPr>
                <w:rFonts w:hint="eastAsia" w:ascii="Calibri" w:hAnsi="Calibri"/>
                <w:highlight w:val="none"/>
                <w:lang w:eastAsia="en-US"/>
              </w:rPr>
              <w:t>1、全自动净水设备；</w:t>
            </w:r>
            <w:r>
              <w:rPr>
                <w:rFonts w:hint="eastAsia" w:ascii="Calibri" w:hAnsi="Calibri"/>
                <w:highlight w:val="none"/>
                <w:lang w:eastAsia="en-US"/>
              </w:rPr>
              <w:br w:type="textWrapping"/>
            </w:r>
            <w:r>
              <w:rPr>
                <w:rFonts w:hint="eastAsia" w:ascii="Calibri" w:hAnsi="Calibri"/>
                <w:highlight w:val="none"/>
                <w:lang w:eastAsia="en-US"/>
              </w:rPr>
              <w:t>2、PE材质缓冲水罐；容积：2吨；管路，阀门等；</w:t>
            </w:r>
          </w:p>
        </w:tc>
        <w:tc>
          <w:tcPr>
            <w:tcW w:w="451" w:type="dxa"/>
            <w:shd w:val="clear" w:color="auto" w:fill="auto"/>
            <w:vAlign w:val="center"/>
          </w:tcPr>
          <w:p w14:paraId="75265F23">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49823563">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4098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28F752EB">
            <w:pPr>
              <w:pStyle w:val="121"/>
              <w:spacing w:line="480" w:lineRule="exact"/>
              <w:rPr>
                <w:rFonts w:ascii="Calibri" w:hAnsi="Calibri"/>
                <w:highlight w:val="none"/>
                <w:lang w:eastAsia="en-US"/>
              </w:rPr>
            </w:pPr>
            <w:r>
              <w:rPr>
                <w:rFonts w:ascii="Calibri" w:hAnsi="Calibri"/>
                <w:highlight w:val="none"/>
                <w:lang w:eastAsia="en-US"/>
              </w:rPr>
              <w:t>3.4</w:t>
            </w:r>
          </w:p>
        </w:tc>
        <w:tc>
          <w:tcPr>
            <w:tcW w:w="1057" w:type="dxa"/>
            <w:shd w:val="clear" w:color="auto" w:fill="auto"/>
            <w:vAlign w:val="center"/>
          </w:tcPr>
          <w:p w14:paraId="1E45D7AE">
            <w:pPr>
              <w:pStyle w:val="121"/>
              <w:spacing w:line="480" w:lineRule="exact"/>
              <w:rPr>
                <w:rFonts w:ascii="Calibri" w:hAnsi="Calibri"/>
                <w:highlight w:val="none"/>
                <w:lang w:eastAsia="en-US"/>
              </w:rPr>
            </w:pPr>
            <w:r>
              <w:rPr>
                <w:rFonts w:hint="eastAsia" w:ascii="Calibri" w:hAnsi="Calibri"/>
                <w:highlight w:val="none"/>
                <w:lang w:eastAsia="en-US"/>
              </w:rPr>
              <w:t>蒸汽发生器</w:t>
            </w:r>
          </w:p>
        </w:tc>
        <w:tc>
          <w:tcPr>
            <w:tcW w:w="7170" w:type="dxa"/>
            <w:shd w:val="clear" w:color="auto" w:fill="auto"/>
            <w:vAlign w:val="center"/>
          </w:tcPr>
          <w:p w14:paraId="40DF80D1">
            <w:pPr>
              <w:pStyle w:val="121"/>
              <w:spacing w:line="480" w:lineRule="exact"/>
              <w:rPr>
                <w:rFonts w:ascii="Calibri" w:hAnsi="Calibri"/>
                <w:highlight w:val="none"/>
                <w:lang w:eastAsia="en-US"/>
              </w:rPr>
            </w:pPr>
            <w:r>
              <w:rPr>
                <w:rFonts w:hint="eastAsia" w:ascii="Calibri" w:hAnsi="Calibri"/>
                <w:highlight w:val="none"/>
                <w:lang w:eastAsia="en-US"/>
              </w:rPr>
              <w:t>1、额定蒸发量：500kg;额定功率：360KW；额定压力：0.7mpa;</w:t>
            </w:r>
            <w:r>
              <w:rPr>
                <w:rFonts w:hint="eastAsia" w:ascii="Calibri" w:hAnsi="Calibri"/>
                <w:highlight w:val="none"/>
                <w:lang w:eastAsia="en-US"/>
              </w:rPr>
              <w:br w:type="textWrapping"/>
            </w:r>
            <w:r>
              <w:rPr>
                <w:rFonts w:hint="eastAsia" w:ascii="Calibri" w:hAnsi="Calibri"/>
                <w:highlight w:val="none"/>
                <w:lang w:eastAsia="en-US"/>
              </w:rPr>
              <w:t>2、饱和蒸汽温度：170℃;;热效率：99%;电源压力：380V;</w:t>
            </w:r>
            <w:r>
              <w:rPr>
                <w:rFonts w:hint="eastAsia" w:ascii="Calibri" w:hAnsi="Calibri"/>
                <w:highlight w:val="none"/>
                <w:lang w:eastAsia="en-US"/>
              </w:rPr>
              <w:br w:type="textWrapping"/>
            </w:r>
            <w:r>
              <w:rPr>
                <w:rFonts w:hint="eastAsia" w:ascii="Calibri" w:hAnsi="Calibri"/>
                <w:highlight w:val="none"/>
                <w:lang w:eastAsia="en-US"/>
              </w:rPr>
              <w:t>3、PLC变频控制；全自动运行；双重过载保护；出汽口：DN40；</w:t>
            </w:r>
            <w:r>
              <w:rPr>
                <w:rFonts w:hint="eastAsia" w:ascii="Calibri" w:hAnsi="Calibri"/>
                <w:highlight w:val="none"/>
                <w:lang w:eastAsia="en-US"/>
              </w:rPr>
              <w:br w:type="textWrapping"/>
            </w:r>
            <w:r>
              <w:rPr>
                <w:rFonts w:hint="eastAsia" w:ascii="Calibri" w:hAnsi="Calibri"/>
                <w:highlight w:val="none"/>
                <w:lang w:eastAsia="en-US"/>
              </w:rPr>
              <w:t>4、保温蒸汽管路，安装用附件截止阀，压力表，安全阀等；</w:t>
            </w:r>
          </w:p>
        </w:tc>
        <w:tc>
          <w:tcPr>
            <w:tcW w:w="451" w:type="dxa"/>
            <w:shd w:val="clear" w:color="auto" w:fill="auto"/>
            <w:vAlign w:val="center"/>
          </w:tcPr>
          <w:p w14:paraId="2FBD49DA">
            <w:pPr>
              <w:pStyle w:val="121"/>
              <w:spacing w:line="480" w:lineRule="exact"/>
              <w:rPr>
                <w:rFonts w:ascii="宋体" w:hAnsi="宋体" w:cs="宋体"/>
                <w:color w:val="000000"/>
                <w:sz w:val="22"/>
                <w:highlight w:val="none"/>
                <w:lang w:eastAsia="en-US"/>
              </w:rPr>
            </w:pPr>
            <w:r>
              <w:rPr>
                <w:rFonts w:ascii="Calibri" w:hAnsi="Calibri"/>
                <w:highlight w:val="none"/>
                <w:lang w:eastAsia="en-US"/>
              </w:rPr>
              <w:t>套</w:t>
            </w:r>
          </w:p>
        </w:tc>
        <w:tc>
          <w:tcPr>
            <w:tcW w:w="621" w:type="dxa"/>
            <w:shd w:val="clear" w:color="auto" w:fill="auto"/>
            <w:vAlign w:val="center"/>
          </w:tcPr>
          <w:p w14:paraId="2D9BACEF">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0E69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3E9DD348">
            <w:pPr>
              <w:pStyle w:val="121"/>
              <w:spacing w:line="480" w:lineRule="exact"/>
              <w:rPr>
                <w:rFonts w:ascii="Calibri" w:hAnsi="Calibri"/>
                <w:highlight w:val="none"/>
                <w:lang w:eastAsia="en-US"/>
              </w:rPr>
            </w:pPr>
            <w:r>
              <w:rPr>
                <w:rFonts w:ascii="Calibri" w:hAnsi="Calibri"/>
                <w:highlight w:val="none"/>
                <w:lang w:eastAsia="en-US"/>
              </w:rPr>
              <w:t>3.5</w:t>
            </w:r>
          </w:p>
        </w:tc>
        <w:tc>
          <w:tcPr>
            <w:tcW w:w="1057" w:type="dxa"/>
            <w:shd w:val="clear" w:color="auto" w:fill="auto"/>
            <w:vAlign w:val="center"/>
          </w:tcPr>
          <w:p w14:paraId="52D786DC">
            <w:pPr>
              <w:pStyle w:val="121"/>
              <w:spacing w:line="480" w:lineRule="exact"/>
              <w:rPr>
                <w:rFonts w:ascii="Calibri" w:hAnsi="Calibri"/>
                <w:highlight w:val="none"/>
                <w:lang w:eastAsia="en-US"/>
              </w:rPr>
            </w:pPr>
            <w:r>
              <w:rPr>
                <w:rFonts w:hint="eastAsia" w:ascii="Calibri" w:hAnsi="Calibri"/>
                <w:highlight w:val="none"/>
                <w:lang w:eastAsia="en-US"/>
              </w:rPr>
              <w:t>加热搅拌罐</w:t>
            </w:r>
          </w:p>
        </w:tc>
        <w:tc>
          <w:tcPr>
            <w:tcW w:w="7170" w:type="dxa"/>
            <w:shd w:val="clear" w:color="auto" w:fill="auto"/>
            <w:vAlign w:val="center"/>
          </w:tcPr>
          <w:p w14:paraId="0FF7F058">
            <w:pPr>
              <w:pStyle w:val="121"/>
              <w:spacing w:line="480" w:lineRule="exact"/>
              <w:rPr>
                <w:rFonts w:ascii="Calibri" w:hAnsi="Calibri"/>
                <w:highlight w:val="none"/>
                <w:lang w:eastAsia="en-US"/>
              </w:rPr>
            </w:pPr>
            <w:r>
              <w:rPr>
                <w:rFonts w:hint="eastAsia" w:ascii="Calibri" w:hAnsi="Calibri"/>
                <w:highlight w:val="none"/>
                <w:lang w:eastAsia="en-US"/>
              </w:rPr>
              <w:t>1、蒸汽加热搅拌罐；容积：10方；搅拌功率：7.5KW；</w:t>
            </w:r>
            <w:r>
              <w:rPr>
                <w:rFonts w:hint="eastAsia" w:ascii="Calibri" w:hAnsi="Calibri"/>
                <w:highlight w:val="none"/>
                <w:lang w:eastAsia="en-US"/>
              </w:rPr>
              <w:br w:type="textWrapping"/>
            </w:r>
            <w:r>
              <w:rPr>
                <w:rFonts w:hint="eastAsia" w:ascii="Calibri" w:hAnsi="Calibri"/>
                <w:highlight w:val="none"/>
                <w:lang w:eastAsia="en-US"/>
              </w:rPr>
              <w:t>2、三层不锈钢搅拌叶；数显液柱液位计；聚氨酯保温层；铝合金呼吸阀；</w:t>
            </w:r>
            <w:r>
              <w:rPr>
                <w:rFonts w:hint="eastAsia" w:ascii="Calibri" w:hAnsi="Calibri"/>
                <w:highlight w:val="none"/>
                <w:lang w:eastAsia="en-US"/>
              </w:rPr>
              <w:br w:type="textWrapping"/>
            </w:r>
            <w:r>
              <w:rPr>
                <w:rFonts w:hint="eastAsia" w:ascii="Calibri" w:hAnsi="Calibri"/>
                <w:highlight w:val="none"/>
                <w:lang w:eastAsia="en-US"/>
              </w:rPr>
              <w:t>3、材质：304不锈钢；内罐壁厚5mm；外壳壁厚2mm；内置不锈钢蒸汽管；</w:t>
            </w:r>
          </w:p>
        </w:tc>
        <w:tc>
          <w:tcPr>
            <w:tcW w:w="451" w:type="dxa"/>
            <w:shd w:val="clear" w:color="auto" w:fill="auto"/>
          </w:tcPr>
          <w:p w14:paraId="00D17215">
            <w:pPr>
              <w:pStyle w:val="121"/>
              <w:spacing w:line="480" w:lineRule="exact"/>
              <w:rPr>
                <w:rFonts w:ascii="Calibri" w:hAnsi="Calibri"/>
                <w:highlight w:val="none"/>
                <w:lang w:eastAsia="en-US"/>
              </w:rPr>
            </w:pPr>
            <w:r>
              <w:rPr>
                <w:rFonts w:ascii="Calibri" w:hAnsi="Calibri"/>
                <w:highlight w:val="none"/>
                <w:lang w:eastAsia="en-US"/>
              </w:rPr>
              <w:t>套</w:t>
            </w:r>
          </w:p>
        </w:tc>
        <w:tc>
          <w:tcPr>
            <w:tcW w:w="621" w:type="dxa"/>
            <w:shd w:val="clear" w:color="auto" w:fill="auto"/>
            <w:vAlign w:val="center"/>
          </w:tcPr>
          <w:p w14:paraId="1DC1FE86">
            <w:pPr>
              <w:pStyle w:val="121"/>
              <w:spacing w:line="480" w:lineRule="exact"/>
              <w:rPr>
                <w:rFonts w:ascii="Calibri" w:hAnsi="Calibri"/>
                <w:highlight w:val="none"/>
                <w:lang w:eastAsia="en-US"/>
              </w:rPr>
            </w:pPr>
            <w:r>
              <w:rPr>
                <w:rFonts w:hint="eastAsia" w:ascii="Calibri" w:hAnsi="Calibri"/>
                <w:highlight w:val="none"/>
                <w:lang w:eastAsia="en-US"/>
              </w:rPr>
              <w:t>2</w:t>
            </w:r>
          </w:p>
        </w:tc>
      </w:tr>
      <w:tr w14:paraId="04F5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5CC8EEFC">
            <w:pPr>
              <w:pStyle w:val="121"/>
              <w:spacing w:line="480" w:lineRule="exact"/>
              <w:rPr>
                <w:rFonts w:ascii="Calibri" w:hAnsi="Calibri"/>
                <w:highlight w:val="none"/>
                <w:lang w:eastAsia="en-US"/>
              </w:rPr>
            </w:pPr>
            <w:r>
              <w:rPr>
                <w:rFonts w:ascii="Calibri" w:hAnsi="Calibri"/>
                <w:highlight w:val="none"/>
                <w:lang w:eastAsia="en-US"/>
              </w:rPr>
              <w:t>3.6</w:t>
            </w:r>
          </w:p>
        </w:tc>
        <w:tc>
          <w:tcPr>
            <w:tcW w:w="1057" w:type="dxa"/>
            <w:shd w:val="clear" w:color="auto" w:fill="auto"/>
            <w:vAlign w:val="center"/>
          </w:tcPr>
          <w:p w14:paraId="37F5E85A">
            <w:pPr>
              <w:pStyle w:val="121"/>
              <w:spacing w:line="480" w:lineRule="exact"/>
              <w:rPr>
                <w:rFonts w:ascii="Calibri" w:hAnsi="Calibri"/>
                <w:highlight w:val="none"/>
                <w:lang w:eastAsia="en-US"/>
              </w:rPr>
            </w:pPr>
            <w:r>
              <w:rPr>
                <w:rFonts w:hint="eastAsia" w:ascii="Calibri" w:hAnsi="Calibri"/>
                <w:highlight w:val="none"/>
                <w:lang w:eastAsia="en-US"/>
              </w:rPr>
              <w:t>浆液输送泵</w:t>
            </w:r>
          </w:p>
        </w:tc>
        <w:tc>
          <w:tcPr>
            <w:tcW w:w="7170" w:type="dxa"/>
            <w:shd w:val="clear" w:color="auto" w:fill="auto"/>
            <w:vAlign w:val="center"/>
          </w:tcPr>
          <w:p w14:paraId="385DCBD7">
            <w:pPr>
              <w:pStyle w:val="121"/>
              <w:spacing w:line="480" w:lineRule="exact"/>
              <w:rPr>
                <w:rFonts w:ascii="Calibri" w:hAnsi="Calibri"/>
                <w:highlight w:val="none"/>
                <w:lang w:eastAsia="en-US"/>
              </w:rPr>
            </w:pPr>
            <w:r>
              <w:rPr>
                <w:rFonts w:hint="eastAsia" w:ascii="Calibri" w:hAnsi="Calibri"/>
                <w:highlight w:val="none"/>
                <w:lang w:eastAsia="en-US"/>
              </w:rPr>
              <w:t>1、耐磨砂浆泵组；泵流量：10m</w:t>
            </w:r>
            <w:r>
              <w:rPr>
                <w:rFonts w:hint="eastAsia" w:ascii="Calibri" w:hAnsi="Calibri"/>
                <w:highlight w:val="none"/>
                <w:vertAlign w:val="superscript"/>
                <w:lang w:eastAsia="en-US"/>
              </w:rPr>
              <w:t>3</w:t>
            </w:r>
            <w:r>
              <w:rPr>
                <w:rFonts w:hint="eastAsia" w:ascii="Calibri" w:hAnsi="Calibri"/>
                <w:highlight w:val="none"/>
                <w:lang w:eastAsia="en-US"/>
              </w:rPr>
              <w:t>/h；扬程：13米；功率3KW；</w:t>
            </w:r>
            <w:r>
              <w:rPr>
                <w:rFonts w:hint="eastAsia" w:ascii="Calibri" w:hAnsi="Calibri"/>
                <w:highlight w:val="none"/>
                <w:lang w:eastAsia="en-US"/>
              </w:rPr>
              <w:br w:type="textWrapping"/>
            </w:r>
            <w:r>
              <w:rPr>
                <w:rFonts w:hint="eastAsia" w:ascii="Calibri" w:hAnsi="Calibri"/>
                <w:highlight w:val="none"/>
                <w:lang w:eastAsia="en-US"/>
              </w:rPr>
              <w:t>2、进出口带挠性法兰，进口DN65，出口DN50；配套透明法兰视镜；</w:t>
            </w:r>
            <w:r>
              <w:rPr>
                <w:rFonts w:hint="eastAsia" w:ascii="Calibri" w:hAnsi="Calibri"/>
                <w:highlight w:val="none"/>
                <w:lang w:eastAsia="en-US"/>
              </w:rPr>
              <w:br w:type="textWrapping"/>
            </w:r>
            <w:r>
              <w:rPr>
                <w:rFonts w:hint="eastAsia" w:ascii="Calibri" w:hAnsi="Calibri"/>
                <w:highlight w:val="none"/>
                <w:lang w:eastAsia="en-US"/>
              </w:rPr>
              <w:t>3、泵头材质球墨铸铁+高温衬塑+合金钢；</w:t>
            </w:r>
          </w:p>
        </w:tc>
        <w:tc>
          <w:tcPr>
            <w:tcW w:w="451" w:type="dxa"/>
            <w:shd w:val="clear" w:color="auto" w:fill="auto"/>
          </w:tcPr>
          <w:p w14:paraId="5DC976DB">
            <w:pPr>
              <w:pStyle w:val="121"/>
              <w:spacing w:line="480" w:lineRule="exact"/>
              <w:rPr>
                <w:rFonts w:ascii="Calibri" w:hAnsi="Calibri"/>
                <w:highlight w:val="none"/>
                <w:lang w:eastAsia="en-US"/>
              </w:rPr>
            </w:pPr>
            <w:r>
              <w:rPr>
                <w:rFonts w:ascii="Calibri" w:hAnsi="Calibri"/>
                <w:highlight w:val="none"/>
                <w:lang w:eastAsia="en-US"/>
              </w:rPr>
              <w:t>套</w:t>
            </w:r>
          </w:p>
        </w:tc>
        <w:tc>
          <w:tcPr>
            <w:tcW w:w="621" w:type="dxa"/>
            <w:shd w:val="clear" w:color="auto" w:fill="auto"/>
            <w:vAlign w:val="center"/>
          </w:tcPr>
          <w:p w14:paraId="1902C8E7">
            <w:pPr>
              <w:pStyle w:val="121"/>
              <w:spacing w:line="480" w:lineRule="exact"/>
              <w:rPr>
                <w:rFonts w:ascii="Calibri" w:hAnsi="Calibri"/>
                <w:highlight w:val="none"/>
                <w:lang w:eastAsia="en-US"/>
              </w:rPr>
            </w:pPr>
            <w:r>
              <w:rPr>
                <w:rFonts w:hint="eastAsia" w:ascii="Calibri" w:hAnsi="Calibri"/>
                <w:highlight w:val="none"/>
                <w:lang w:eastAsia="en-US"/>
              </w:rPr>
              <w:t>2</w:t>
            </w:r>
          </w:p>
        </w:tc>
      </w:tr>
      <w:tr w14:paraId="5729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7E2AC18D">
            <w:pPr>
              <w:pStyle w:val="121"/>
              <w:spacing w:line="480" w:lineRule="exact"/>
              <w:rPr>
                <w:rFonts w:ascii="Calibri" w:hAnsi="Calibri"/>
                <w:highlight w:val="none"/>
                <w:lang w:eastAsia="en-US"/>
              </w:rPr>
            </w:pPr>
            <w:r>
              <w:rPr>
                <w:rFonts w:ascii="Calibri" w:hAnsi="Calibri"/>
                <w:highlight w:val="none"/>
                <w:lang w:eastAsia="en-US"/>
              </w:rPr>
              <w:t>3.7</w:t>
            </w:r>
          </w:p>
        </w:tc>
        <w:tc>
          <w:tcPr>
            <w:tcW w:w="1057" w:type="dxa"/>
            <w:shd w:val="clear" w:color="auto" w:fill="auto"/>
            <w:vAlign w:val="center"/>
          </w:tcPr>
          <w:p w14:paraId="2DA9A116">
            <w:pPr>
              <w:pStyle w:val="121"/>
              <w:spacing w:line="480" w:lineRule="exact"/>
              <w:rPr>
                <w:rFonts w:ascii="Calibri" w:hAnsi="Calibri"/>
                <w:highlight w:val="none"/>
                <w:lang w:eastAsia="en-US"/>
              </w:rPr>
            </w:pPr>
            <w:r>
              <w:rPr>
                <w:rFonts w:hint="eastAsia" w:ascii="Calibri" w:hAnsi="Calibri"/>
                <w:highlight w:val="none"/>
                <w:lang w:eastAsia="en-US"/>
              </w:rPr>
              <w:t>卧式离心机</w:t>
            </w:r>
          </w:p>
        </w:tc>
        <w:tc>
          <w:tcPr>
            <w:tcW w:w="7170" w:type="dxa"/>
            <w:shd w:val="clear" w:color="auto" w:fill="auto"/>
            <w:vAlign w:val="center"/>
          </w:tcPr>
          <w:p w14:paraId="679F00CB">
            <w:pPr>
              <w:pStyle w:val="121"/>
              <w:spacing w:line="480" w:lineRule="exact"/>
              <w:rPr>
                <w:rFonts w:ascii="Calibri" w:hAnsi="Calibri"/>
                <w:highlight w:val="none"/>
                <w:lang w:eastAsia="en-US"/>
              </w:rPr>
            </w:pPr>
            <w:r>
              <w:rPr>
                <w:rFonts w:hint="eastAsia" w:ascii="Calibri" w:hAnsi="Calibri"/>
                <w:highlight w:val="none"/>
                <w:lang w:eastAsia="en-US"/>
              </w:rPr>
              <w:t>1、三相分离机；处理量：8-10t/h ；功率：主电机37KW；辅电机15KW；</w:t>
            </w:r>
            <w:r>
              <w:rPr>
                <w:rFonts w:hint="eastAsia" w:ascii="Calibri" w:hAnsi="Calibri"/>
                <w:highlight w:val="none"/>
                <w:lang w:eastAsia="en-US"/>
              </w:rPr>
              <w:br w:type="textWrapping"/>
            </w:r>
            <w:r>
              <w:rPr>
                <w:rFonts w:hint="eastAsia" w:ascii="Calibri" w:hAnsi="Calibri"/>
                <w:highlight w:val="none"/>
                <w:lang w:eastAsia="en-US"/>
              </w:rPr>
              <w:t>2、双电双频驱动，泵机联锁控制，PLC智能控制；</w:t>
            </w:r>
            <w:r>
              <w:rPr>
                <w:rFonts w:hint="eastAsia" w:ascii="Calibri" w:hAnsi="Calibri"/>
                <w:highlight w:val="none"/>
                <w:lang w:eastAsia="en-US"/>
              </w:rPr>
              <w:br w:type="textWrapping"/>
            </w:r>
            <w:r>
              <w:rPr>
                <w:rFonts w:hint="eastAsia" w:ascii="Calibri" w:hAnsi="Calibri"/>
                <w:highlight w:val="none"/>
                <w:lang w:eastAsia="en-US"/>
              </w:rPr>
              <w:t>3、大扭矩行星齿轮差速器，镶嵌硬质合金螺旋；耐磨陶瓷出渣口；</w:t>
            </w:r>
            <w:r>
              <w:rPr>
                <w:rFonts w:hint="eastAsia" w:ascii="Calibri" w:hAnsi="Calibri"/>
                <w:highlight w:val="none"/>
                <w:lang w:eastAsia="en-US"/>
              </w:rPr>
              <w:br w:type="textWrapping"/>
            </w:r>
            <w:r>
              <w:rPr>
                <w:rFonts w:hint="eastAsia" w:ascii="Calibri" w:hAnsi="Calibri"/>
                <w:highlight w:val="none"/>
                <w:lang w:eastAsia="en-US"/>
              </w:rPr>
              <w:t>4、双机撬装式安装，带维护平台机架；防护栏；登高梯；</w:t>
            </w:r>
            <w:r>
              <w:rPr>
                <w:rFonts w:hint="eastAsia" w:ascii="Calibri" w:hAnsi="Calibri"/>
                <w:highlight w:val="none"/>
                <w:lang w:eastAsia="en-US"/>
              </w:rPr>
              <w:br w:type="textWrapping"/>
            </w:r>
            <w:r>
              <w:rPr>
                <w:rFonts w:hint="eastAsia" w:ascii="Calibri" w:hAnsi="Calibri"/>
                <w:highlight w:val="none"/>
                <w:lang w:eastAsia="en-US"/>
              </w:rPr>
              <w:t>5、材质：主体双向不锈钢2205+304；机架碳钢防腐；钢构橡胶减震器；</w:t>
            </w:r>
          </w:p>
        </w:tc>
        <w:tc>
          <w:tcPr>
            <w:tcW w:w="451" w:type="dxa"/>
            <w:shd w:val="clear" w:color="auto" w:fill="auto"/>
          </w:tcPr>
          <w:p w14:paraId="58F3A64E">
            <w:pPr>
              <w:pStyle w:val="121"/>
              <w:spacing w:line="480" w:lineRule="exact"/>
              <w:rPr>
                <w:rFonts w:ascii="Calibri" w:hAnsi="Calibri"/>
                <w:highlight w:val="none"/>
                <w:lang w:eastAsia="en-US"/>
              </w:rPr>
            </w:pPr>
            <w:r>
              <w:rPr>
                <w:rFonts w:ascii="Calibri" w:hAnsi="Calibri"/>
                <w:highlight w:val="none"/>
                <w:lang w:eastAsia="en-US"/>
              </w:rPr>
              <w:t>套</w:t>
            </w:r>
          </w:p>
        </w:tc>
        <w:tc>
          <w:tcPr>
            <w:tcW w:w="621" w:type="dxa"/>
            <w:shd w:val="clear" w:color="auto" w:fill="auto"/>
            <w:vAlign w:val="center"/>
          </w:tcPr>
          <w:p w14:paraId="376318BC">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31BB9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2B3A93C3">
            <w:pPr>
              <w:pStyle w:val="121"/>
              <w:spacing w:line="480" w:lineRule="exact"/>
              <w:rPr>
                <w:rFonts w:ascii="Calibri" w:hAnsi="Calibri"/>
                <w:highlight w:val="none"/>
                <w:lang w:eastAsia="en-US"/>
              </w:rPr>
            </w:pPr>
            <w:r>
              <w:rPr>
                <w:rFonts w:ascii="Calibri" w:hAnsi="Calibri"/>
                <w:highlight w:val="none"/>
                <w:lang w:eastAsia="en-US"/>
              </w:rPr>
              <w:t>3.8</w:t>
            </w:r>
          </w:p>
        </w:tc>
        <w:tc>
          <w:tcPr>
            <w:tcW w:w="1057" w:type="dxa"/>
            <w:shd w:val="clear" w:color="auto" w:fill="auto"/>
            <w:vAlign w:val="center"/>
          </w:tcPr>
          <w:p w14:paraId="247AB96D">
            <w:pPr>
              <w:pStyle w:val="121"/>
              <w:spacing w:line="480" w:lineRule="exact"/>
              <w:rPr>
                <w:rFonts w:ascii="Calibri" w:hAnsi="Calibri"/>
                <w:highlight w:val="none"/>
                <w:lang w:eastAsia="en-US"/>
              </w:rPr>
            </w:pPr>
            <w:r>
              <w:rPr>
                <w:rFonts w:hint="eastAsia" w:ascii="Calibri" w:hAnsi="Calibri"/>
                <w:highlight w:val="none"/>
                <w:lang w:eastAsia="en-US"/>
              </w:rPr>
              <w:t>浆渣螺旋</w:t>
            </w:r>
          </w:p>
        </w:tc>
        <w:tc>
          <w:tcPr>
            <w:tcW w:w="7170" w:type="dxa"/>
            <w:shd w:val="clear" w:color="auto" w:fill="auto"/>
            <w:vAlign w:val="center"/>
          </w:tcPr>
          <w:p w14:paraId="6EB8FCC9">
            <w:pPr>
              <w:pStyle w:val="121"/>
              <w:spacing w:line="480" w:lineRule="exact"/>
              <w:rPr>
                <w:rFonts w:ascii="Calibri" w:hAnsi="Calibri"/>
                <w:highlight w:val="none"/>
                <w:lang w:eastAsia="en-US"/>
              </w:rPr>
            </w:pPr>
            <w:r>
              <w:rPr>
                <w:rFonts w:hint="eastAsia" w:ascii="Calibri" w:hAnsi="Calibri"/>
                <w:highlight w:val="none"/>
                <w:lang w:eastAsia="en-US"/>
              </w:rPr>
              <w:t>1、无轴螺旋，输送量：3t/h；减速电机功率：4KW；</w:t>
            </w:r>
            <w:r>
              <w:rPr>
                <w:rFonts w:hint="eastAsia" w:ascii="Calibri" w:hAnsi="Calibri"/>
                <w:highlight w:val="none"/>
                <w:lang w:eastAsia="en-US"/>
              </w:rPr>
              <w:br w:type="textWrapping"/>
            </w:r>
            <w:r>
              <w:rPr>
                <w:rFonts w:hint="eastAsia" w:ascii="Calibri" w:hAnsi="Calibri"/>
                <w:highlight w:val="none"/>
                <w:lang w:eastAsia="en-US"/>
              </w:rPr>
              <w:t>2、螺旋可变频调速，过载保护；采用快修支架结构；</w:t>
            </w:r>
            <w:r>
              <w:rPr>
                <w:rFonts w:hint="eastAsia" w:ascii="Calibri" w:hAnsi="Calibri"/>
                <w:highlight w:val="none"/>
                <w:lang w:eastAsia="en-US"/>
              </w:rPr>
              <w:br w:type="textWrapping"/>
            </w:r>
            <w:r>
              <w:rPr>
                <w:rFonts w:hint="eastAsia" w:ascii="Calibri" w:hAnsi="Calibri"/>
                <w:highlight w:val="none"/>
                <w:lang w:eastAsia="en-US"/>
              </w:rPr>
              <w:t>3、材质：壳体-盖板不锈钢，板厚：3mm；螺旋16Mn；衬板超高分子UPE+304楔网；机架碳钢防腐；</w:t>
            </w:r>
          </w:p>
        </w:tc>
        <w:tc>
          <w:tcPr>
            <w:tcW w:w="451" w:type="dxa"/>
            <w:shd w:val="clear" w:color="auto" w:fill="auto"/>
          </w:tcPr>
          <w:p w14:paraId="1B9D5325">
            <w:pPr>
              <w:pStyle w:val="121"/>
              <w:spacing w:line="480" w:lineRule="exact"/>
              <w:rPr>
                <w:rFonts w:ascii="Calibri" w:hAnsi="Calibri"/>
                <w:highlight w:val="none"/>
                <w:lang w:eastAsia="en-US"/>
              </w:rPr>
            </w:pPr>
            <w:r>
              <w:rPr>
                <w:rFonts w:ascii="Calibri" w:hAnsi="Calibri"/>
                <w:highlight w:val="none"/>
                <w:lang w:eastAsia="en-US"/>
              </w:rPr>
              <w:t>套</w:t>
            </w:r>
          </w:p>
        </w:tc>
        <w:tc>
          <w:tcPr>
            <w:tcW w:w="621" w:type="dxa"/>
            <w:shd w:val="clear" w:color="auto" w:fill="auto"/>
            <w:vAlign w:val="center"/>
          </w:tcPr>
          <w:p w14:paraId="297AE8E7">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52DD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36F77C12">
            <w:pPr>
              <w:pStyle w:val="121"/>
              <w:spacing w:line="480" w:lineRule="exact"/>
              <w:rPr>
                <w:rFonts w:ascii="Calibri" w:hAnsi="Calibri"/>
                <w:highlight w:val="none"/>
                <w:lang w:eastAsia="en-US"/>
              </w:rPr>
            </w:pPr>
            <w:r>
              <w:rPr>
                <w:rFonts w:ascii="Calibri" w:hAnsi="Calibri"/>
                <w:highlight w:val="none"/>
                <w:lang w:eastAsia="en-US"/>
              </w:rPr>
              <w:t>3.9</w:t>
            </w:r>
          </w:p>
        </w:tc>
        <w:tc>
          <w:tcPr>
            <w:tcW w:w="1057" w:type="dxa"/>
            <w:shd w:val="clear" w:color="auto" w:fill="auto"/>
            <w:vAlign w:val="center"/>
          </w:tcPr>
          <w:p w14:paraId="3AC5B618">
            <w:pPr>
              <w:pStyle w:val="121"/>
              <w:spacing w:line="480" w:lineRule="exact"/>
              <w:rPr>
                <w:rFonts w:ascii="Calibri" w:hAnsi="Calibri"/>
                <w:highlight w:val="none"/>
                <w:lang w:eastAsia="en-US"/>
              </w:rPr>
            </w:pPr>
            <w:r>
              <w:rPr>
                <w:rFonts w:hint="eastAsia" w:ascii="Calibri" w:hAnsi="Calibri"/>
                <w:highlight w:val="none"/>
                <w:lang w:eastAsia="en-US"/>
              </w:rPr>
              <w:t>热水罐</w:t>
            </w:r>
          </w:p>
        </w:tc>
        <w:tc>
          <w:tcPr>
            <w:tcW w:w="7170" w:type="dxa"/>
            <w:shd w:val="clear" w:color="auto" w:fill="auto"/>
            <w:vAlign w:val="center"/>
          </w:tcPr>
          <w:p w14:paraId="44FD48A8">
            <w:pPr>
              <w:pStyle w:val="121"/>
              <w:spacing w:line="480" w:lineRule="exact"/>
              <w:rPr>
                <w:rFonts w:ascii="Calibri" w:hAnsi="Calibri"/>
                <w:highlight w:val="none"/>
                <w:lang w:eastAsia="en-US"/>
              </w:rPr>
            </w:pPr>
            <w:r>
              <w:rPr>
                <w:rFonts w:hint="eastAsia" w:ascii="Calibri" w:hAnsi="Calibri"/>
                <w:highlight w:val="none"/>
                <w:lang w:eastAsia="en-US"/>
              </w:rPr>
              <w:t>1、不锈钢缓冲箱；容积V=1m</w:t>
            </w:r>
            <w:r>
              <w:rPr>
                <w:rFonts w:hint="eastAsia" w:ascii="Calibri" w:hAnsi="Calibri"/>
                <w:highlight w:val="none"/>
                <w:vertAlign w:val="superscript"/>
                <w:lang w:eastAsia="en-US"/>
              </w:rPr>
              <w:t>3</w:t>
            </w:r>
            <w:r>
              <w:rPr>
                <w:rFonts w:hint="eastAsia" w:ascii="Calibri" w:hAnsi="Calibri"/>
                <w:highlight w:val="none"/>
                <w:lang w:eastAsia="en-US"/>
              </w:rPr>
              <w:t>；进水口DN100；出水口DN65；</w:t>
            </w:r>
            <w:r>
              <w:rPr>
                <w:rFonts w:hint="eastAsia" w:ascii="Calibri" w:hAnsi="Calibri"/>
                <w:highlight w:val="none"/>
                <w:lang w:eastAsia="en-US"/>
              </w:rPr>
              <w:br w:type="textWrapping"/>
            </w:r>
            <w:r>
              <w:rPr>
                <w:rFonts w:hint="eastAsia" w:ascii="Calibri" w:hAnsi="Calibri"/>
                <w:highlight w:val="none"/>
                <w:lang w:eastAsia="en-US"/>
              </w:rPr>
              <w:t>2、箱体材质304不锈钢；板厚2mm-内衬型钢加强；</w:t>
            </w:r>
          </w:p>
        </w:tc>
        <w:tc>
          <w:tcPr>
            <w:tcW w:w="451" w:type="dxa"/>
            <w:shd w:val="clear" w:color="auto" w:fill="auto"/>
          </w:tcPr>
          <w:p w14:paraId="0A7EDE02">
            <w:pPr>
              <w:pStyle w:val="121"/>
              <w:spacing w:line="480" w:lineRule="exact"/>
              <w:rPr>
                <w:rFonts w:ascii="Calibri" w:hAnsi="Calibri"/>
                <w:highlight w:val="none"/>
                <w:lang w:eastAsia="en-US"/>
              </w:rPr>
            </w:pPr>
            <w:r>
              <w:rPr>
                <w:rFonts w:hint="eastAsia" w:ascii="Calibri" w:hAnsi="Calibri"/>
                <w:highlight w:val="none"/>
                <w:lang w:eastAsia="en-US"/>
              </w:rPr>
              <w:t>套</w:t>
            </w:r>
          </w:p>
        </w:tc>
        <w:tc>
          <w:tcPr>
            <w:tcW w:w="621" w:type="dxa"/>
            <w:shd w:val="clear" w:color="auto" w:fill="auto"/>
            <w:vAlign w:val="center"/>
          </w:tcPr>
          <w:p w14:paraId="45C2F38F">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565E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452C15F6">
            <w:pPr>
              <w:pStyle w:val="121"/>
              <w:spacing w:line="480" w:lineRule="exact"/>
              <w:rPr>
                <w:rFonts w:ascii="Calibri" w:hAnsi="Calibri"/>
                <w:highlight w:val="none"/>
                <w:lang w:eastAsia="en-US"/>
              </w:rPr>
            </w:pPr>
            <w:r>
              <w:rPr>
                <w:rFonts w:hint="eastAsia" w:ascii="Calibri" w:hAnsi="Calibri"/>
                <w:highlight w:val="none"/>
                <w:lang w:eastAsia="en-US"/>
              </w:rPr>
              <w:t>3.10</w:t>
            </w:r>
          </w:p>
        </w:tc>
        <w:tc>
          <w:tcPr>
            <w:tcW w:w="1057" w:type="dxa"/>
            <w:shd w:val="clear" w:color="auto" w:fill="auto"/>
            <w:vAlign w:val="center"/>
          </w:tcPr>
          <w:p w14:paraId="77B4DDDD">
            <w:pPr>
              <w:pStyle w:val="121"/>
              <w:spacing w:line="480" w:lineRule="exact"/>
              <w:rPr>
                <w:rFonts w:ascii="Calibri" w:hAnsi="Calibri"/>
                <w:highlight w:val="none"/>
                <w:lang w:eastAsia="en-US"/>
              </w:rPr>
            </w:pPr>
            <w:r>
              <w:rPr>
                <w:rFonts w:hint="eastAsia" w:ascii="Calibri" w:hAnsi="Calibri"/>
                <w:highlight w:val="none"/>
                <w:lang w:eastAsia="en-US"/>
              </w:rPr>
              <w:t>热水输送泵</w:t>
            </w:r>
          </w:p>
        </w:tc>
        <w:tc>
          <w:tcPr>
            <w:tcW w:w="7170" w:type="dxa"/>
            <w:shd w:val="clear" w:color="auto" w:fill="auto"/>
            <w:vAlign w:val="center"/>
          </w:tcPr>
          <w:p w14:paraId="5F21A3A3">
            <w:pPr>
              <w:pStyle w:val="121"/>
              <w:spacing w:line="480" w:lineRule="exact"/>
              <w:rPr>
                <w:rFonts w:ascii="Calibri" w:hAnsi="Calibri"/>
                <w:highlight w:val="none"/>
                <w:lang w:eastAsia="en-US"/>
              </w:rPr>
            </w:pPr>
            <w:r>
              <w:rPr>
                <w:rFonts w:hint="eastAsia" w:ascii="Calibri" w:hAnsi="Calibri"/>
                <w:highlight w:val="none"/>
                <w:lang w:eastAsia="en-US"/>
              </w:rPr>
              <w:t>1、无堵塞排污泵；泵流量：15m</w:t>
            </w:r>
            <w:r>
              <w:rPr>
                <w:rFonts w:hint="eastAsia" w:ascii="Calibri" w:hAnsi="Calibri"/>
                <w:highlight w:val="none"/>
                <w:vertAlign w:val="superscript"/>
                <w:lang w:eastAsia="en-US"/>
              </w:rPr>
              <w:t>3</w:t>
            </w:r>
            <w:r>
              <w:rPr>
                <w:rFonts w:hint="eastAsia" w:ascii="Calibri" w:hAnsi="Calibri"/>
                <w:highlight w:val="none"/>
                <w:lang w:eastAsia="en-US"/>
              </w:rPr>
              <w:t>/h；扬程：30米；功率2.2KW；</w:t>
            </w:r>
            <w:r>
              <w:rPr>
                <w:rFonts w:hint="eastAsia" w:ascii="Calibri" w:hAnsi="Calibri"/>
                <w:highlight w:val="none"/>
                <w:lang w:eastAsia="en-US"/>
              </w:rPr>
              <w:br w:type="textWrapping"/>
            </w:r>
            <w:r>
              <w:rPr>
                <w:rFonts w:hint="eastAsia" w:ascii="Calibri" w:hAnsi="Calibri"/>
                <w:highlight w:val="none"/>
                <w:lang w:eastAsia="en-US"/>
              </w:rPr>
              <w:t>2、泵头材质球铁+合金钢；进出口带挠性法兰-球阀，进口DN40，出口DN40；</w:t>
            </w:r>
          </w:p>
        </w:tc>
        <w:tc>
          <w:tcPr>
            <w:tcW w:w="451" w:type="dxa"/>
            <w:shd w:val="clear" w:color="auto" w:fill="auto"/>
          </w:tcPr>
          <w:p w14:paraId="7E616F4A">
            <w:pPr>
              <w:pStyle w:val="121"/>
              <w:spacing w:line="480" w:lineRule="exact"/>
              <w:rPr>
                <w:rFonts w:ascii="Calibri" w:hAnsi="Calibri"/>
                <w:highlight w:val="none"/>
                <w:lang w:eastAsia="en-US"/>
              </w:rPr>
            </w:pPr>
            <w:r>
              <w:rPr>
                <w:rFonts w:hint="eastAsia" w:ascii="Calibri" w:hAnsi="Calibri"/>
                <w:highlight w:val="none"/>
                <w:lang w:eastAsia="en-US"/>
              </w:rPr>
              <w:t>套</w:t>
            </w:r>
          </w:p>
        </w:tc>
        <w:tc>
          <w:tcPr>
            <w:tcW w:w="621" w:type="dxa"/>
            <w:shd w:val="clear" w:color="auto" w:fill="auto"/>
            <w:vAlign w:val="center"/>
          </w:tcPr>
          <w:p w14:paraId="55F4F458">
            <w:pPr>
              <w:pStyle w:val="121"/>
              <w:spacing w:line="480" w:lineRule="exact"/>
              <w:rPr>
                <w:rFonts w:ascii="Calibri" w:hAnsi="Calibri"/>
                <w:highlight w:val="none"/>
                <w:lang w:eastAsia="en-US"/>
              </w:rPr>
            </w:pPr>
            <w:r>
              <w:rPr>
                <w:rFonts w:hint="eastAsia" w:ascii="Calibri" w:hAnsi="Calibri"/>
                <w:highlight w:val="none"/>
                <w:lang w:eastAsia="en-US"/>
              </w:rPr>
              <w:t>2</w:t>
            </w:r>
          </w:p>
        </w:tc>
      </w:tr>
      <w:tr w14:paraId="2543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3D1D65E1">
            <w:pPr>
              <w:pStyle w:val="121"/>
              <w:spacing w:line="480" w:lineRule="exact"/>
              <w:rPr>
                <w:rFonts w:ascii="Calibri" w:hAnsi="Calibri"/>
                <w:highlight w:val="none"/>
                <w:lang w:eastAsia="en-US"/>
              </w:rPr>
            </w:pPr>
            <w:r>
              <w:rPr>
                <w:rFonts w:hint="eastAsia" w:ascii="Calibri" w:hAnsi="Calibri"/>
                <w:highlight w:val="none"/>
                <w:lang w:eastAsia="en-US"/>
              </w:rPr>
              <w:t>3.11</w:t>
            </w:r>
          </w:p>
        </w:tc>
        <w:tc>
          <w:tcPr>
            <w:tcW w:w="1057" w:type="dxa"/>
            <w:shd w:val="clear" w:color="auto" w:fill="auto"/>
            <w:vAlign w:val="center"/>
          </w:tcPr>
          <w:p w14:paraId="34A02D8F">
            <w:pPr>
              <w:pStyle w:val="121"/>
              <w:spacing w:line="480" w:lineRule="exact"/>
              <w:rPr>
                <w:rFonts w:ascii="Calibri" w:hAnsi="Calibri"/>
                <w:highlight w:val="none"/>
                <w:lang w:eastAsia="en-US"/>
              </w:rPr>
            </w:pPr>
            <w:r>
              <w:rPr>
                <w:rFonts w:hint="eastAsia" w:ascii="Calibri" w:hAnsi="Calibri"/>
                <w:highlight w:val="none"/>
                <w:lang w:eastAsia="en-US"/>
              </w:rPr>
              <w:t>热油罐</w:t>
            </w:r>
          </w:p>
        </w:tc>
        <w:tc>
          <w:tcPr>
            <w:tcW w:w="7170" w:type="dxa"/>
            <w:shd w:val="clear" w:color="auto" w:fill="auto"/>
            <w:vAlign w:val="center"/>
          </w:tcPr>
          <w:p w14:paraId="08E3925A">
            <w:pPr>
              <w:pStyle w:val="121"/>
              <w:spacing w:line="480" w:lineRule="exact"/>
              <w:rPr>
                <w:rFonts w:ascii="Calibri" w:hAnsi="Calibri"/>
                <w:highlight w:val="none"/>
                <w:lang w:eastAsia="en-US"/>
              </w:rPr>
            </w:pPr>
            <w:r>
              <w:rPr>
                <w:rFonts w:hint="eastAsia" w:ascii="Calibri" w:hAnsi="Calibri"/>
                <w:highlight w:val="none"/>
                <w:lang w:eastAsia="en-US"/>
              </w:rPr>
              <w:t>1、不锈钢缓冲箱；容积V=1m</w:t>
            </w:r>
            <w:r>
              <w:rPr>
                <w:rFonts w:hint="eastAsia" w:ascii="Calibri" w:hAnsi="Calibri"/>
                <w:highlight w:val="none"/>
                <w:vertAlign w:val="superscript"/>
                <w:lang w:eastAsia="en-US"/>
              </w:rPr>
              <w:t>3</w:t>
            </w:r>
            <w:r>
              <w:rPr>
                <w:rFonts w:hint="eastAsia" w:ascii="Calibri" w:hAnsi="Calibri"/>
                <w:highlight w:val="none"/>
                <w:lang w:eastAsia="en-US"/>
              </w:rPr>
              <w:t>；进水口DN100；出水口DN65；</w:t>
            </w:r>
            <w:r>
              <w:rPr>
                <w:rFonts w:hint="eastAsia" w:ascii="Calibri" w:hAnsi="Calibri"/>
                <w:highlight w:val="none"/>
                <w:lang w:eastAsia="en-US"/>
              </w:rPr>
              <w:br w:type="textWrapping"/>
            </w:r>
            <w:r>
              <w:rPr>
                <w:rFonts w:hint="eastAsia" w:ascii="Calibri" w:hAnsi="Calibri"/>
                <w:highlight w:val="none"/>
                <w:lang w:eastAsia="en-US"/>
              </w:rPr>
              <w:t>2、箱体材质304不锈钢；板厚2mm-内衬型钢加强；</w:t>
            </w:r>
          </w:p>
        </w:tc>
        <w:tc>
          <w:tcPr>
            <w:tcW w:w="451" w:type="dxa"/>
            <w:shd w:val="clear" w:color="auto" w:fill="auto"/>
          </w:tcPr>
          <w:p w14:paraId="4B43D573">
            <w:pPr>
              <w:pStyle w:val="121"/>
              <w:spacing w:line="480" w:lineRule="exact"/>
              <w:rPr>
                <w:rFonts w:ascii="Calibri" w:hAnsi="Calibri"/>
                <w:highlight w:val="none"/>
                <w:lang w:eastAsia="en-US"/>
              </w:rPr>
            </w:pPr>
            <w:r>
              <w:rPr>
                <w:rFonts w:hint="eastAsia" w:ascii="Calibri" w:hAnsi="Calibri"/>
                <w:highlight w:val="none"/>
                <w:lang w:eastAsia="en-US"/>
              </w:rPr>
              <w:t>套</w:t>
            </w:r>
          </w:p>
        </w:tc>
        <w:tc>
          <w:tcPr>
            <w:tcW w:w="621" w:type="dxa"/>
            <w:shd w:val="clear" w:color="auto" w:fill="auto"/>
            <w:vAlign w:val="center"/>
          </w:tcPr>
          <w:p w14:paraId="3B7DDEE2">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4DC2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6AA86319">
            <w:pPr>
              <w:pStyle w:val="121"/>
              <w:spacing w:line="480" w:lineRule="exact"/>
              <w:rPr>
                <w:rFonts w:ascii="Calibri" w:hAnsi="Calibri"/>
                <w:highlight w:val="none"/>
                <w:lang w:eastAsia="en-US"/>
              </w:rPr>
            </w:pPr>
            <w:r>
              <w:rPr>
                <w:rFonts w:hint="eastAsia" w:ascii="Calibri" w:hAnsi="Calibri"/>
                <w:highlight w:val="none"/>
                <w:lang w:eastAsia="en-US"/>
              </w:rPr>
              <w:t>3.12</w:t>
            </w:r>
          </w:p>
        </w:tc>
        <w:tc>
          <w:tcPr>
            <w:tcW w:w="1057" w:type="dxa"/>
            <w:shd w:val="clear" w:color="auto" w:fill="auto"/>
            <w:vAlign w:val="center"/>
          </w:tcPr>
          <w:p w14:paraId="192E86D7">
            <w:pPr>
              <w:pStyle w:val="121"/>
              <w:spacing w:line="480" w:lineRule="exact"/>
              <w:rPr>
                <w:rFonts w:ascii="Calibri" w:hAnsi="Calibri"/>
                <w:highlight w:val="none"/>
                <w:lang w:eastAsia="en-US"/>
              </w:rPr>
            </w:pPr>
            <w:r>
              <w:rPr>
                <w:rFonts w:hint="eastAsia" w:ascii="Calibri" w:hAnsi="Calibri"/>
                <w:highlight w:val="none"/>
                <w:lang w:eastAsia="en-US"/>
              </w:rPr>
              <w:t>热油泵</w:t>
            </w:r>
          </w:p>
        </w:tc>
        <w:tc>
          <w:tcPr>
            <w:tcW w:w="7170" w:type="dxa"/>
            <w:shd w:val="clear" w:color="auto" w:fill="auto"/>
            <w:vAlign w:val="center"/>
          </w:tcPr>
          <w:p w14:paraId="576C5D7C">
            <w:pPr>
              <w:pStyle w:val="121"/>
              <w:spacing w:line="480" w:lineRule="exact"/>
              <w:rPr>
                <w:rFonts w:ascii="Calibri" w:hAnsi="Calibri"/>
                <w:highlight w:val="none"/>
                <w:lang w:eastAsia="en-US"/>
              </w:rPr>
            </w:pPr>
            <w:r>
              <w:rPr>
                <w:rFonts w:hint="eastAsia" w:ascii="Calibri" w:hAnsi="Calibri"/>
                <w:highlight w:val="none"/>
                <w:lang w:eastAsia="en-US"/>
              </w:rPr>
              <w:t>1、无堵塞排污泵；泵流量：25m</w:t>
            </w:r>
            <w:r>
              <w:rPr>
                <w:rFonts w:hint="eastAsia" w:ascii="Calibri" w:hAnsi="Calibri"/>
                <w:highlight w:val="none"/>
                <w:vertAlign w:val="superscript"/>
                <w:lang w:eastAsia="en-US"/>
              </w:rPr>
              <w:t>3</w:t>
            </w:r>
            <w:r>
              <w:rPr>
                <w:rFonts w:hint="eastAsia" w:ascii="Calibri" w:hAnsi="Calibri"/>
                <w:highlight w:val="none"/>
                <w:lang w:eastAsia="en-US"/>
              </w:rPr>
              <w:t>/h；扬程：30米；功率4KW；</w:t>
            </w:r>
            <w:r>
              <w:rPr>
                <w:rFonts w:hint="eastAsia" w:ascii="Calibri" w:hAnsi="Calibri"/>
                <w:highlight w:val="none"/>
                <w:lang w:eastAsia="en-US"/>
              </w:rPr>
              <w:br w:type="textWrapping"/>
            </w:r>
            <w:r>
              <w:rPr>
                <w:rFonts w:hint="eastAsia" w:ascii="Calibri" w:hAnsi="Calibri"/>
                <w:highlight w:val="none"/>
                <w:lang w:eastAsia="en-US"/>
              </w:rPr>
              <w:t>2、泵头材质球铁+合金钢；进出口带挠性法兰-球阀，进口DN65，出口DN65；</w:t>
            </w:r>
          </w:p>
        </w:tc>
        <w:tc>
          <w:tcPr>
            <w:tcW w:w="451" w:type="dxa"/>
            <w:shd w:val="clear" w:color="auto" w:fill="auto"/>
          </w:tcPr>
          <w:p w14:paraId="6DB9BCDE">
            <w:pPr>
              <w:pStyle w:val="121"/>
              <w:spacing w:line="480" w:lineRule="exact"/>
              <w:rPr>
                <w:rFonts w:ascii="Calibri" w:hAnsi="Calibri"/>
                <w:highlight w:val="none"/>
                <w:lang w:eastAsia="en-US"/>
              </w:rPr>
            </w:pPr>
            <w:r>
              <w:rPr>
                <w:rFonts w:hint="eastAsia" w:ascii="Calibri" w:hAnsi="Calibri"/>
                <w:highlight w:val="none"/>
                <w:lang w:eastAsia="en-US"/>
              </w:rPr>
              <w:t>套</w:t>
            </w:r>
          </w:p>
        </w:tc>
        <w:tc>
          <w:tcPr>
            <w:tcW w:w="621" w:type="dxa"/>
            <w:shd w:val="clear" w:color="auto" w:fill="auto"/>
            <w:vAlign w:val="center"/>
          </w:tcPr>
          <w:p w14:paraId="6F68CC7D">
            <w:pPr>
              <w:pStyle w:val="121"/>
              <w:spacing w:line="480" w:lineRule="exact"/>
              <w:rPr>
                <w:rFonts w:ascii="Calibri" w:hAnsi="Calibri"/>
                <w:highlight w:val="none"/>
                <w:lang w:eastAsia="en-US"/>
              </w:rPr>
            </w:pPr>
            <w:r>
              <w:rPr>
                <w:rFonts w:hint="eastAsia" w:ascii="Calibri" w:hAnsi="Calibri"/>
                <w:highlight w:val="none"/>
                <w:lang w:eastAsia="en-US"/>
              </w:rPr>
              <w:t>2</w:t>
            </w:r>
          </w:p>
        </w:tc>
      </w:tr>
      <w:tr w14:paraId="11F63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15956CE8">
            <w:pPr>
              <w:pStyle w:val="121"/>
              <w:spacing w:line="480" w:lineRule="exact"/>
              <w:rPr>
                <w:rFonts w:ascii="Calibri" w:hAnsi="Calibri"/>
                <w:highlight w:val="none"/>
                <w:lang w:eastAsia="en-US"/>
              </w:rPr>
            </w:pPr>
            <w:r>
              <w:rPr>
                <w:rFonts w:hint="eastAsia" w:ascii="Calibri" w:hAnsi="Calibri"/>
                <w:highlight w:val="none"/>
                <w:lang w:eastAsia="en-US"/>
              </w:rPr>
              <w:t>3.13</w:t>
            </w:r>
          </w:p>
        </w:tc>
        <w:tc>
          <w:tcPr>
            <w:tcW w:w="1057" w:type="dxa"/>
            <w:shd w:val="clear" w:color="auto" w:fill="auto"/>
            <w:vAlign w:val="center"/>
          </w:tcPr>
          <w:p w14:paraId="62AAC0FB">
            <w:pPr>
              <w:pStyle w:val="121"/>
              <w:spacing w:line="480" w:lineRule="exact"/>
              <w:rPr>
                <w:rFonts w:ascii="Calibri" w:hAnsi="Calibri"/>
                <w:highlight w:val="none"/>
                <w:lang w:eastAsia="en-US"/>
              </w:rPr>
            </w:pPr>
            <w:r>
              <w:rPr>
                <w:rFonts w:hint="eastAsia" w:ascii="Calibri" w:hAnsi="Calibri"/>
                <w:highlight w:val="none"/>
                <w:lang w:eastAsia="en-US"/>
              </w:rPr>
              <w:t>储油罐</w:t>
            </w:r>
          </w:p>
        </w:tc>
        <w:tc>
          <w:tcPr>
            <w:tcW w:w="7170" w:type="dxa"/>
            <w:shd w:val="clear" w:color="auto" w:fill="auto"/>
            <w:vAlign w:val="center"/>
          </w:tcPr>
          <w:p w14:paraId="0C2CC8AC">
            <w:pPr>
              <w:pStyle w:val="121"/>
              <w:spacing w:line="480" w:lineRule="exact"/>
              <w:rPr>
                <w:rFonts w:ascii="Calibri" w:hAnsi="Calibri"/>
                <w:highlight w:val="none"/>
                <w:lang w:eastAsia="en-US"/>
              </w:rPr>
            </w:pPr>
            <w:r>
              <w:rPr>
                <w:rFonts w:hint="eastAsia" w:ascii="Calibri" w:hAnsi="Calibri"/>
                <w:highlight w:val="none"/>
                <w:lang w:eastAsia="en-US"/>
              </w:rPr>
              <w:t>1、立式储油罐；容积30方；数显液位表；带加热盘管；底部可排水；</w:t>
            </w:r>
            <w:r>
              <w:rPr>
                <w:rFonts w:hint="eastAsia" w:ascii="Calibri" w:hAnsi="Calibri"/>
                <w:highlight w:val="none"/>
                <w:lang w:eastAsia="en-US"/>
              </w:rPr>
              <w:br w:type="textWrapping"/>
            </w:r>
            <w:r>
              <w:rPr>
                <w:rFonts w:hint="eastAsia" w:ascii="Calibri" w:hAnsi="Calibri"/>
                <w:highlight w:val="none"/>
                <w:lang w:eastAsia="en-US"/>
              </w:rPr>
              <w:t>2、罐体材质Q235A防腐处理，壁厚6mm；蒸汽管材质304不锈钢，壁厚2mm；</w:t>
            </w:r>
          </w:p>
        </w:tc>
        <w:tc>
          <w:tcPr>
            <w:tcW w:w="451" w:type="dxa"/>
            <w:shd w:val="clear" w:color="auto" w:fill="auto"/>
          </w:tcPr>
          <w:p w14:paraId="5F249338">
            <w:pPr>
              <w:pStyle w:val="121"/>
              <w:spacing w:line="480" w:lineRule="exact"/>
              <w:rPr>
                <w:rFonts w:ascii="Calibri" w:hAnsi="Calibri"/>
                <w:highlight w:val="none"/>
                <w:lang w:eastAsia="en-US"/>
              </w:rPr>
            </w:pPr>
            <w:r>
              <w:rPr>
                <w:rFonts w:hint="eastAsia" w:ascii="Calibri" w:hAnsi="Calibri"/>
                <w:highlight w:val="none"/>
                <w:lang w:eastAsia="en-US"/>
              </w:rPr>
              <w:t>套</w:t>
            </w:r>
          </w:p>
        </w:tc>
        <w:tc>
          <w:tcPr>
            <w:tcW w:w="621" w:type="dxa"/>
            <w:shd w:val="clear" w:color="auto" w:fill="auto"/>
            <w:vAlign w:val="center"/>
          </w:tcPr>
          <w:p w14:paraId="1335A20C">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7FBD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57D543BA">
            <w:pPr>
              <w:pStyle w:val="121"/>
              <w:spacing w:line="480" w:lineRule="exact"/>
              <w:rPr>
                <w:rFonts w:ascii="Calibri" w:hAnsi="Calibri"/>
                <w:highlight w:val="none"/>
                <w:lang w:eastAsia="en-US"/>
              </w:rPr>
            </w:pPr>
            <w:r>
              <w:rPr>
                <w:rFonts w:hint="eastAsia" w:ascii="Calibri" w:hAnsi="Calibri"/>
                <w:highlight w:val="none"/>
                <w:lang w:eastAsia="en-US"/>
              </w:rPr>
              <w:t>3.14</w:t>
            </w:r>
          </w:p>
        </w:tc>
        <w:tc>
          <w:tcPr>
            <w:tcW w:w="1057" w:type="dxa"/>
            <w:shd w:val="clear" w:color="auto" w:fill="auto"/>
            <w:vAlign w:val="center"/>
          </w:tcPr>
          <w:p w14:paraId="17EEBA23">
            <w:pPr>
              <w:pStyle w:val="121"/>
              <w:spacing w:line="480" w:lineRule="exact"/>
              <w:rPr>
                <w:rFonts w:ascii="Calibri" w:hAnsi="Calibri"/>
                <w:highlight w:val="none"/>
                <w:lang w:eastAsia="en-US"/>
              </w:rPr>
            </w:pPr>
            <w:r>
              <w:rPr>
                <w:rFonts w:hint="eastAsia" w:ascii="Calibri" w:hAnsi="Calibri"/>
                <w:highlight w:val="none"/>
                <w:lang w:eastAsia="en-US"/>
              </w:rPr>
              <w:t>装车泵</w:t>
            </w:r>
          </w:p>
        </w:tc>
        <w:tc>
          <w:tcPr>
            <w:tcW w:w="7170" w:type="dxa"/>
            <w:shd w:val="clear" w:color="auto" w:fill="auto"/>
            <w:vAlign w:val="center"/>
          </w:tcPr>
          <w:p w14:paraId="39A29084">
            <w:pPr>
              <w:pStyle w:val="121"/>
              <w:spacing w:line="480" w:lineRule="exact"/>
              <w:rPr>
                <w:rFonts w:ascii="Calibri" w:hAnsi="Calibri"/>
                <w:highlight w:val="none"/>
                <w:lang w:eastAsia="en-US"/>
              </w:rPr>
            </w:pPr>
            <w:r>
              <w:rPr>
                <w:rFonts w:hint="eastAsia" w:ascii="Calibri" w:hAnsi="Calibri"/>
                <w:highlight w:val="none"/>
                <w:lang w:eastAsia="en-US"/>
              </w:rPr>
              <w:t>1、无堵塞排污泵；泵流量：30m</w:t>
            </w:r>
            <w:r>
              <w:rPr>
                <w:rFonts w:hint="eastAsia" w:ascii="Calibri" w:hAnsi="Calibri"/>
                <w:highlight w:val="none"/>
                <w:vertAlign w:val="superscript"/>
                <w:lang w:eastAsia="en-US"/>
              </w:rPr>
              <w:t>3</w:t>
            </w:r>
            <w:r>
              <w:rPr>
                <w:rFonts w:hint="eastAsia" w:ascii="Calibri" w:hAnsi="Calibri"/>
                <w:highlight w:val="none"/>
                <w:lang w:eastAsia="en-US"/>
              </w:rPr>
              <w:t>/h；扬程：40米；功率7.5KW；</w:t>
            </w:r>
            <w:r>
              <w:rPr>
                <w:rFonts w:hint="eastAsia" w:ascii="Calibri" w:hAnsi="Calibri"/>
                <w:highlight w:val="none"/>
                <w:lang w:eastAsia="en-US"/>
              </w:rPr>
              <w:br w:type="textWrapping"/>
            </w:r>
            <w:r>
              <w:rPr>
                <w:rFonts w:hint="eastAsia" w:ascii="Calibri" w:hAnsi="Calibri"/>
                <w:highlight w:val="none"/>
                <w:lang w:eastAsia="en-US"/>
              </w:rPr>
              <w:t>2、泵头材质球铁+合金钢；进出口带挠性法兰-球阀，进口DN65，出口DN65；</w:t>
            </w:r>
          </w:p>
        </w:tc>
        <w:tc>
          <w:tcPr>
            <w:tcW w:w="451" w:type="dxa"/>
            <w:shd w:val="clear" w:color="auto" w:fill="auto"/>
          </w:tcPr>
          <w:p w14:paraId="2C01B71F">
            <w:pPr>
              <w:pStyle w:val="121"/>
              <w:spacing w:line="480" w:lineRule="exact"/>
              <w:rPr>
                <w:rFonts w:ascii="Calibri" w:hAnsi="Calibri"/>
                <w:highlight w:val="none"/>
                <w:lang w:eastAsia="en-US"/>
              </w:rPr>
            </w:pPr>
            <w:r>
              <w:rPr>
                <w:rFonts w:hint="eastAsia" w:ascii="Calibri" w:hAnsi="Calibri"/>
                <w:highlight w:val="none"/>
                <w:lang w:eastAsia="en-US"/>
              </w:rPr>
              <w:t>套</w:t>
            </w:r>
          </w:p>
        </w:tc>
        <w:tc>
          <w:tcPr>
            <w:tcW w:w="621" w:type="dxa"/>
            <w:shd w:val="clear" w:color="auto" w:fill="auto"/>
            <w:vAlign w:val="center"/>
          </w:tcPr>
          <w:p w14:paraId="6A8E0D9B">
            <w:pPr>
              <w:pStyle w:val="121"/>
              <w:spacing w:line="480" w:lineRule="exact"/>
              <w:rPr>
                <w:rFonts w:ascii="Calibri" w:hAnsi="Calibri"/>
                <w:highlight w:val="none"/>
                <w:lang w:eastAsia="en-US"/>
              </w:rPr>
            </w:pPr>
            <w:r>
              <w:rPr>
                <w:rFonts w:hint="eastAsia" w:ascii="Calibri" w:hAnsi="Calibri"/>
                <w:highlight w:val="none"/>
                <w:lang w:eastAsia="en-US"/>
              </w:rPr>
              <w:t>2</w:t>
            </w:r>
          </w:p>
        </w:tc>
      </w:tr>
      <w:tr w14:paraId="31F7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511" w:type="dxa"/>
            <w:shd w:val="clear" w:color="auto" w:fill="auto"/>
            <w:vAlign w:val="center"/>
          </w:tcPr>
          <w:p w14:paraId="6A7AD47B">
            <w:pPr>
              <w:pStyle w:val="121"/>
              <w:spacing w:line="480" w:lineRule="exact"/>
              <w:rPr>
                <w:rFonts w:ascii="Calibri" w:hAnsi="Calibri"/>
                <w:highlight w:val="none"/>
                <w:lang w:eastAsia="en-US"/>
              </w:rPr>
            </w:pPr>
            <w:r>
              <w:rPr>
                <w:rFonts w:ascii="Calibri" w:hAnsi="Calibri"/>
                <w:highlight w:val="none"/>
                <w:lang w:eastAsia="en-US"/>
              </w:rPr>
              <w:t>四</w:t>
            </w:r>
          </w:p>
        </w:tc>
        <w:tc>
          <w:tcPr>
            <w:tcW w:w="9299" w:type="dxa"/>
            <w:gridSpan w:val="4"/>
            <w:shd w:val="clear" w:color="auto" w:fill="auto"/>
            <w:vAlign w:val="center"/>
          </w:tcPr>
          <w:p w14:paraId="0A9A74CC">
            <w:pPr>
              <w:pStyle w:val="121"/>
              <w:spacing w:line="480" w:lineRule="exact"/>
              <w:rPr>
                <w:rFonts w:ascii="Calibri" w:hAnsi="Calibri"/>
                <w:highlight w:val="none"/>
                <w:lang w:eastAsia="en-US"/>
              </w:rPr>
            </w:pPr>
            <w:r>
              <w:rPr>
                <w:rFonts w:ascii="Calibri" w:hAnsi="Calibri"/>
                <w:highlight w:val="none"/>
                <w:lang w:eastAsia="en-US"/>
              </w:rPr>
              <w:t>自动控制系统</w:t>
            </w:r>
          </w:p>
        </w:tc>
      </w:tr>
      <w:tr w14:paraId="306F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1" w:hRule="atLeast"/>
          <w:jc w:val="center"/>
        </w:trPr>
        <w:tc>
          <w:tcPr>
            <w:tcW w:w="511" w:type="dxa"/>
            <w:shd w:val="clear" w:color="auto" w:fill="auto"/>
            <w:vAlign w:val="center"/>
          </w:tcPr>
          <w:p w14:paraId="760327D7">
            <w:pPr>
              <w:pStyle w:val="121"/>
              <w:spacing w:line="480" w:lineRule="exact"/>
              <w:rPr>
                <w:rFonts w:ascii="Calibri" w:hAnsi="Calibri"/>
                <w:highlight w:val="none"/>
                <w:lang w:eastAsia="en-US"/>
              </w:rPr>
            </w:pPr>
            <w:r>
              <w:rPr>
                <w:rFonts w:hint="eastAsia" w:ascii="Calibri" w:hAnsi="Calibri"/>
                <w:highlight w:val="none"/>
                <w:lang w:eastAsia="en-US"/>
              </w:rPr>
              <w:t>4</w:t>
            </w:r>
            <w:r>
              <w:rPr>
                <w:rFonts w:ascii="Calibri" w:hAnsi="Calibri"/>
                <w:highlight w:val="none"/>
                <w:lang w:eastAsia="en-US"/>
              </w:rPr>
              <w:t>.1</w:t>
            </w:r>
          </w:p>
        </w:tc>
        <w:tc>
          <w:tcPr>
            <w:tcW w:w="1057" w:type="dxa"/>
            <w:shd w:val="clear" w:color="auto" w:fill="auto"/>
            <w:vAlign w:val="center"/>
          </w:tcPr>
          <w:p w14:paraId="5E66CC53">
            <w:pPr>
              <w:pStyle w:val="121"/>
              <w:spacing w:line="480" w:lineRule="exact"/>
              <w:rPr>
                <w:rFonts w:ascii="Calibri" w:hAnsi="Calibri"/>
                <w:highlight w:val="none"/>
                <w:lang w:eastAsia="en-US"/>
              </w:rPr>
            </w:pPr>
            <w:bookmarkStart w:id="35" w:name="OLE_LINK36"/>
            <w:bookmarkStart w:id="36" w:name="OLE_LINK37"/>
            <w:r>
              <w:rPr>
                <w:rFonts w:ascii="Calibri" w:hAnsi="Calibri"/>
                <w:highlight w:val="none"/>
                <w:lang w:eastAsia="en-US"/>
              </w:rPr>
              <w:t>电柜及自控系统</w:t>
            </w:r>
            <w:bookmarkEnd w:id="35"/>
            <w:bookmarkEnd w:id="36"/>
          </w:p>
        </w:tc>
        <w:tc>
          <w:tcPr>
            <w:tcW w:w="7170" w:type="dxa"/>
            <w:shd w:val="clear" w:color="auto" w:fill="auto"/>
            <w:vAlign w:val="center"/>
          </w:tcPr>
          <w:p w14:paraId="103B974C">
            <w:pPr>
              <w:pStyle w:val="121"/>
              <w:spacing w:line="480" w:lineRule="exact"/>
              <w:rPr>
                <w:rFonts w:ascii="Calibri" w:hAnsi="Calibri"/>
                <w:highlight w:val="none"/>
                <w:lang w:eastAsia="en-US"/>
              </w:rPr>
            </w:pPr>
            <w:bookmarkStart w:id="37" w:name="OLE_LINK34"/>
            <w:bookmarkStart w:id="38" w:name="OLE_LINK35"/>
            <w:r>
              <w:rPr>
                <w:rFonts w:ascii="Calibri" w:hAnsi="Calibri"/>
                <w:highlight w:val="none"/>
                <w:lang w:eastAsia="en-US"/>
              </w:rPr>
              <w:t>含 PLC控制系统，数据采集系统；远程监控模块，</w:t>
            </w:r>
          </w:p>
          <w:p w14:paraId="2616802B">
            <w:pPr>
              <w:pStyle w:val="121"/>
              <w:spacing w:line="480" w:lineRule="exact"/>
              <w:rPr>
                <w:rFonts w:ascii="Calibri" w:hAnsi="Calibri"/>
                <w:highlight w:val="none"/>
                <w:lang w:eastAsia="en-US"/>
              </w:rPr>
            </w:pPr>
            <w:r>
              <w:rPr>
                <w:rFonts w:ascii="Calibri" w:hAnsi="Calibri"/>
                <w:highlight w:val="none"/>
                <w:lang w:eastAsia="en-US"/>
              </w:rPr>
              <w:t>15 寸工业触摸屏；</w:t>
            </w:r>
            <w:bookmarkEnd w:id="37"/>
            <w:bookmarkEnd w:id="38"/>
          </w:p>
        </w:tc>
        <w:tc>
          <w:tcPr>
            <w:tcW w:w="451" w:type="dxa"/>
            <w:shd w:val="clear" w:color="auto" w:fill="auto"/>
            <w:vAlign w:val="center"/>
          </w:tcPr>
          <w:p w14:paraId="1BAD5DF9">
            <w:pPr>
              <w:pStyle w:val="121"/>
              <w:spacing w:line="480" w:lineRule="exact"/>
              <w:rPr>
                <w:rFonts w:ascii="Calibri" w:hAnsi="Calibri"/>
                <w:highlight w:val="none"/>
                <w:lang w:eastAsia="en-US"/>
              </w:rPr>
            </w:pPr>
            <w:bookmarkStart w:id="39" w:name="OLE_LINK49"/>
            <w:r>
              <w:rPr>
                <w:rFonts w:ascii="Calibri" w:hAnsi="Calibri"/>
                <w:highlight w:val="none"/>
                <w:lang w:eastAsia="en-US"/>
              </w:rPr>
              <w:t>套</w:t>
            </w:r>
            <w:bookmarkEnd w:id="39"/>
          </w:p>
        </w:tc>
        <w:tc>
          <w:tcPr>
            <w:tcW w:w="621" w:type="dxa"/>
            <w:shd w:val="clear" w:color="auto" w:fill="auto"/>
            <w:vAlign w:val="center"/>
          </w:tcPr>
          <w:p w14:paraId="793262B1">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2FC7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2E223CEB">
            <w:pPr>
              <w:pStyle w:val="121"/>
              <w:spacing w:line="480" w:lineRule="exact"/>
              <w:rPr>
                <w:rFonts w:ascii="Calibri" w:hAnsi="Calibri"/>
                <w:highlight w:val="none"/>
                <w:lang w:eastAsia="en-US"/>
              </w:rPr>
            </w:pPr>
            <w:r>
              <w:rPr>
                <w:rFonts w:hint="eastAsia" w:ascii="Calibri" w:hAnsi="Calibri"/>
                <w:highlight w:val="none"/>
                <w:lang w:eastAsia="en-US"/>
              </w:rPr>
              <w:t>4</w:t>
            </w:r>
            <w:r>
              <w:rPr>
                <w:rFonts w:ascii="Calibri" w:hAnsi="Calibri"/>
                <w:highlight w:val="none"/>
                <w:lang w:eastAsia="en-US"/>
              </w:rPr>
              <w:t>.2</w:t>
            </w:r>
          </w:p>
        </w:tc>
        <w:tc>
          <w:tcPr>
            <w:tcW w:w="1057" w:type="dxa"/>
            <w:shd w:val="clear" w:color="auto" w:fill="auto"/>
            <w:vAlign w:val="center"/>
          </w:tcPr>
          <w:p w14:paraId="22FB95AE">
            <w:pPr>
              <w:pStyle w:val="121"/>
              <w:spacing w:line="480" w:lineRule="exact"/>
              <w:rPr>
                <w:rFonts w:ascii="Calibri" w:hAnsi="Calibri"/>
                <w:highlight w:val="none"/>
                <w:lang w:eastAsia="en-US"/>
              </w:rPr>
            </w:pPr>
            <w:bookmarkStart w:id="40" w:name="OLE_LINK39"/>
            <w:bookmarkStart w:id="41" w:name="OLE_LINK40"/>
            <w:r>
              <w:rPr>
                <w:rFonts w:ascii="Calibri" w:hAnsi="Calibri"/>
                <w:highlight w:val="none"/>
                <w:lang w:eastAsia="en-US"/>
              </w:rPr>
              <w:t>电缆及桥架</w:t>
            </w:r>
            <w:bookmarkEnd w:id="40"/>
            <w:bookmarkEnd w:id="41"/>
          </w:p>
        </w:tc>
        <w:tc>
          <w:tcPr>
            <w:tcW w:w="7170" w:type="dxa"/>
            <w:shd w:val="clear" w:color="auto" w:fill="auto"/>
            <w:vAlign w:val="center"/>
          </w:tcPr>
          <w:p w14:paraId="24FE905B">
            <w:pPr>
              <w:pStyle w:val="121"/>
              <w:spacing w:line="480" w:lineRule="exact"/>
              <w:rPr>
                <w:rFonts w:ascii="Calibri" w:hAnsi="Calibri"/>
                <w:highlight w:val="none"/>
                <w:lang w:eastAsia="en-US"/>
              </w:rPr>
            </w:pPr>
            <w:bookmarkStart w:id="42" w:name="OLE_LINK38"/>
            <w:r>
              <w:rPr>
                <w:rFonts w:ascii="Calibri" w:hAnsi="Calibri"/>
                <w:highlight w:val="none"/>
                <w:lang w:eastAsia="en-US"/>
              </w:rPr>
              <w:t>含系统内各设备、控制柜及电机等之间的动力和控 制线，以及桥架等附件</w:t>
            </w:r>
            <w:bookmarkEnd w:id="42"/>
          </w:p>
        </w:tc>
        <w:tc>
          <w:tcPr>
            <w:tcW w:w="451" w:type="dxa"/>
            <w:shd w:val="clear" w:color="auto" w:fill="auto"/>
            <w:vAlign w:val="center"/>
          </w:tcPr>
          <w:p w14:paraId="48BE2D02">
            <w:pPr>
              <w:pStyle w:val="121"/>
              <w:spacing w:line="480" w:lineRule="exact"/>
              <w:rPr>
                <w:rFonts w:ascii="Calibri" w:hAnsi="Calibri"/>
                <w:highlight w:val="none"/>
                <w:lang w:eastAsia="en-US"/>
              </w:rPr>
            </w:pPr>
            <w:r>
              <w:rPr>
                <w:rFonts w:ascii="Calibri" w:hAnsi="Calibri"/>
                <w:highlight w:val="none"/>
                <w:lang w:eastAsia="en-US"/>
              </w:rPr>
              <w:t>套</w:t>
            </w:r>
          </w:p>
        </w:tc>
        <w:tc>
          <w:tcPr>
            <w:tcW w:w="621" w:type="dxa"/>
            <w:shd w:val="clear" w:color="auto" w:fill="auto"/>
            <w:vAlign w:val="center"/>
          </w:tcPr>
          <w:p w14:paraId="0B04DFAE">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328E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3396CEB8">
            <w:pPr>
              <w:pStyle w:val="121"/>
              <w:spacing w:line="480" w:lineRule="exact"/>
              <w:rPr>
                <w:rFonts w:ascii="Calibri" w:hAnsi="Calibri"/>
                <w:highlight w:val="none"/>
                <w:lang w:eastAsia="en-US"/>
              </w:rPr>
            </w:pPr>
            <w:r>
              <w:rPr>
                <w:rFonts w:hint="eastAsia" w:ascii="Calibri" w:hAnsi="Calibri"/>
                <w:highlight w:val="none"/>
                <w:lang w:eastAsia="en-US"/>
              </w:rPr>
              <w:t>4.3</w:t>
            </w:r>
          </w:p>
        </w:tc>
        <w:tc>
          <w:tcPr>
            <w:tcW w:w="1057" w:type="dxa"/>
            <w:shd w:val="clear" w:color="auto" w:fill="auto"/>
            <w:vAlign w:val="center"/>
          </w:tcPr>
          <w:p w14:paraId="6BAA47FC">
            <w:pPr>
              <w:pStyle w:val="121"/>
              <w:spacing w:line="480" w:lineRule="exact"/>
              <w:rPr>
                <w:rFonts w:ascii="Calibri" w:hAnsi="Calibri"/>
                <w:highlight w:val="none"/>
                <w:lang w:eastAsia="en-US"/>
              </w:rPr>
            </w:pPr>
            <w:r>
              <w:rPr>
                <w:rFonts w:ascii="Calibri" w:hAnsi="Calibri"/>
                <w:highlight w:val="none"/>
                <w:lang w:eastAsia="en-US"/>
              </w:rPr>
              <w:t>中央控制系统</w:t>
            </w:r>
          </w:p>
        </w:tc>
        <w:tc>
          <w:tcPr>
            <w:tcW w:w="7170" w:type="dxa"/>
            <w:shd w:val="clear" w:color="auto" w:fill="auto"/>
            <w:vAlign w:val="center"/>
          </w:tcPr>
          <w:p w14:paraId="2617AFD4">
            <w:pPr>
              <w:pStyle w:val="121"/>
              <w:spacing w:line="480" w:lineRule="exact"/>
              <w:rPr>
                <w:rFonts w:ascii="Calibri" w:hAnsi="Calibri"/>
                <w:highlight w:val="none"/>
                <w:lang w:eastAsia="en-US"/>
              </w:rPr>
            </w:pPr>
            <w:r>
              <w:rPr>
                <w:rFonts w:hint="eastAsia" w:ascii="Calibri" w:hAnsi="Calibri"/>
                <w:highlight w:val="none"/>
                <w:lang w:eastAsia="en-US"/>
              </w:rPr>
              <w:t>包含但不限于自动控制系统、编程软件和组态软件、上位机（工控机、显示器）等。</w:t>
            </w:r>
          </w:p>
        </w:tc>
        <w:tc>
          <w:tcPr>
            <w:tcW w:w="451" w:type="dxa"/>
            <w:shd w:val="clear" w:color="auto" w:fill="auto"/>
            <w:vAlign w:val="center"/>
          </w:tcPr>
          <w:p w14:paraId="6A8953CB">
            <w:pPr>
              <w:pStyle w:val="121"/>
              <w:spacing w:line="480" w:lineRule="exact"/>
              <w:rPr>
                <w:rFonts w:ascii="Calibri" w:hAnsi="Calibri"/>
                <w:highlight w:val="none"/>
                <w:lang w:eastAsia="en-US"/>
              </w:rPr>
            </w:pPr>
            <w:r>
              <w:rPr>
                <w:rFonts w:ascii="Calibri" w:hAnsi="Calibri"/>
                <w:highlight w:val="none"/>
                <w:lang w:eastAsia="en-US"/>
              </w:rPr>
              <w:t>套</w:t>
            </w:r>
          </w:p>
        </w:tc>
        <w:tc>
          <w:tcPr>
            <w:tcW w:w="621" w:type="dxa"/>
            <w:shd w:val="clear" w:color="auto" w:fill="auto"/>
            <w:vAlign w:val="center"/>
          </w:tcPr>
          <w:p w14:paraId="7DDE312A">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3ABA4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257ACD9C">
            <w:pPr>
              <w:pStyle w:val="121"/>
              <w:spacing w:line="480" w:lineRule="exact"/>
              <w:rPr>
                <w:rFonts w:ascii="Calibri" w:hAnsi="Calibri"/>
                <w:highlight w:val="none"/>
                <w:lang w:eastAsia="en-US"/>
              </w:rPr>
            </w:pPr>
            <w:r>
              <w:rPr>
                <w:rFonts w:hint="eastAsia" w:ascii="Calibri" w:hAnsi="Calibri"/>
                <w:highlight w:val="none"/>
                <w:lang w:eastAsia="en-US"/>
              </w:rPr>
              <w:t>4.4</w:t>
            </w:r>
          </w:p>
        </w:tc>
        <w:tc>
          <w:tcPr>
            <w:tcW w:w="1057" w:type="dxa"/>
            <w:shd w:val="clear" w:color="auto" w:fill="auto"/>
            <w:vAlign w:val="center"/>
          </w:tcPr>
          <w:p w14:paraId="0C489ACB">
            <w:pPr>
              <w:pStyle w:val="121"/>
              <w:spacing w:line="480" w:lineRule="exact"/>
              <w:rPr>
                <w:rFonts w:ascii="Calibri" w:hAnsi="Calibri"/>
                <w:highlight w:val="none"/>
                <w:lang w:eastAsia="en-US"/>
              </w:rPr>
            </w:pPr>
            <w:r>
              <w:rPr>
                <w:rFonts w:ascii="Calibri" w:hAnsi="Calibri"/>
                <w:highlight w:val="none"/>
                <w:lang w:eastAsia="en-US"/>
              </w:rPr>
              <w:t>工艺监控</w:t>
            </w:r>
          </w:p>
        </w:tc>
        <w:tc>
          <w:tcPr>
            <w:tcW w:w="7170" w:type="dxa"/>
            <w:shd w:val="clear" w:color="auto" w:fill="auto"/>
            <w:vAlign w:val="center"/>
          </w:tcPr>
          <w:p w14:paraId="7251DD73">
            <w:pPr>
              <w:pStyle w:val="121"/>
              <w:spacing w:line="480" w:lineRule="exact"/>
              <w:rPr>
                <w:rFonts w:ascii="Calibri" w:hAnsi="Calibri"/>
                <w:highlight w:val="none"/>
                <w:lang w:eastAsia="en-US"/>
              </w:rPr>
            </w:pPr>
            <w:r>
              <w:rPr>
                <w:rFonts w:ascii="Calibri" w:hAnsi="Calibri"/>
                <w:highlight w:val="none"/>
                <w:lang w:eastAsia="en-US"/>
              </w:rPr>
              <w:t>枪型摄像机</w:t>
            </w:r>
            <w:r>
              <w:rPr>
                <w:rFonts w:hint="eastAsia" w:ascii="Calibri" w:hAnsi="Calibri"/>
                <w:highlight w:val="none"/>
                <w:lang w:eastAsia="en-US"/>
              </w:rPr>
              <w:t>4</w:t>
            </w:r>
            <w:r>
              <w:rPr>
                <w:rFonts w:ascii="Calibri" w:hAnsi="Calibri"/>
                <w:highlight w:val="none"/>
                <w:lang w:eastAsia="en-US"/>
              </w:rPr>
              <w:t>个</w:t>
            </w:r>
            <w:r>
              <w:rPr>
                <w:rFonts w:hint="eastAsia" w:ascii="Calibri" w:hAnsi="Calibri"/>
                <w:highlight w:val="none"/>
                <w:lang w:eastAsia="en-US"/>
              </w:rPr>
              <w:t>，红外夜视型，400万像素，IP66</w:t>
            </w:r>
            <w:r>
              <w:rPr>
                <w:rFonts w:ascii="Calibri" w:hAnsi="Calibri"/>
                <w:highlight w:val="none"/>
                <w:lang w:eastAsia="en-US"/>
              </w:rPr>
              <w:t>，防爆</w:t>
            </w:r>
          </w:p>
        </w:tc>
        <w:tc>
          <w:tcPr>
            <w:tcW w:w="451" w:type="dxa"/>
            <w:shd w:val="clear" w:color="auto" w:fill="auto"/>
            <w:vAlign w:val="center"/>
          </w:tcPr>
          <w:p w14:paraId="5827D065">
            <w:pPr>
              <w:pStyle w:val="121"/>
              <w:spacing w:line="480" w:lineRule="exact"/>
              <w:rPr>
                <w:rFonts w:ascii="Calibri" w:hAnsi="Calibri"/>
                <w:highlight w:val="none"/>
                <w:lang w:eastAsia="en-US"/>
              </w:rPr>
            </w:pPr>
            <w:r>
              <w:rPr>
                <w:rFonts w:ascii="Calibri" w:hAnsi="Calibri"/>
                <w:highlight w:val="none"/>
                <w:lang w:eastAsia="en-US"/>
              </w:rPr>
              <w:t>套</w:t>
            </w:r>
          </w:p>
        </w:tc>
        <w:tc>
          <w:tcPr>
            <w:tcW w:w="621" w:type="dxa"/>
            <w:shd w:val="clear" w:color="auto" w:fill="auto"/>
            <w:vAlign w:val="center"/>
          </w:tcPr>
          <w:p w14:paraId="41DDE347">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2BC9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5EE3C861">
            <w:pPr>
              <w:pStyle w:val="121"/>
              <w:spacing w:line="480" w:lineRule="exact"/>
              <w:rPr>
                <w:rFonts w:ascii="Calibri" w:hAnsi="Calibri"/>
                <w:highlight w:val="none"/>
                <w:lang w:eastAsia="en-US"/>
              </w:rPr>
            </w:pPr>
            <w:r>
              <w:rPr>
                <w:rFonts w:hint="eastAsia" w:ascii="Calibri" w:hAnsi="Calibri"/>
                <w:highlight w:val="none"/>
                <w:lang w:eastAsia="en-US"/>
              </w:rPr>
              <w:t>4.5</w:t>
            </w:r>
          </w:p>
        </w:tc>
        <w:tc>
          <w:tcPr>
            <w:tcW w:w="1057" w:type="dxa"/>
            <w:shd w:val="clear" w:color="auto" w:fill="auto"/>
            <w:vAlign w:val="center"/>
          </w:tcPr>
          <w:p w14:paraId="4BB0CBA8">
            <w:pPr>
              <w:widowControl/>
              <w:spacing w:line="480" w:lineRule="exact"/>
              <w:ind w:firstLine="0" w:firstLineChars="0"/>
              <w:jc w:val="center"/>
              <w:rPr>
                <w:rFonts w:ascii="Calibri" w:hAnsi="Calibri"/>
                <w:sz w:val="21"/>
                <w:szCs w:val="21"/>
                <w:highlight w:val="none"/>
                <w:lang w:eastAsia="en-US"/>
              </w:rPr>
            </w:pPr>
            <w:r>
              <w:rPr>
                <w:rFonts w:hint="eastAsia" w:ascii="Calibri" w:hAnsi="Calibri"/>
                <w:sz w:val="21"/>
                <w:szCs w:val="21"/>
                <w:highlight w:val="none"/>
                <w:lang w:eastAsia="en-US"/>
              </w:rPr>
              <w:t>废水蒸汽管路</w:t>
            </w:r>
          </w:p>
        </w:tc>
        <w:tc>
          <w:tcPr>
            <w:tcW w:w="7170" w:type="dxa"/>
            <w:shd w:val="clear" w:color="auto" w:fill="auto"/>
            <w:vAlign w:val="center"/>
          </w:tcPr>
          <w:p w14:paraId="483D72B9">
            <w:pPr>
              <w:widowControl/>
              <w:spacing w:line="480" w:lineRule="exact"/>
              <w:ind w:firstLine="0" w:firstLineChars="0"/>
              <w:jc w:val="left"/>
              <w:rPr>
                <w:rFonts w:ascii="Calibri" w:hAnsi="Calibri"/>
                <w:sz w:val="21"/>
                <w:szCs w:val="21"/>
                <w:highlight w:val="none"/>
                <w:lang w:eastAsia="en-US"/>
              </w:rPr>
            </w:pPr>
            <w:r>
              <w:rPr>
                <w:rFonts w:hint="eastAsia" w:ascii="Calibri" w:hAnsi="Calibri"/>
                <w:sz w:val="21"/>
                <w:szCs w:val="21"/>
                <w:highlight w:val="none"/>
                <w:lang w:eastAsia="en-US"/>
              </w:rPr>
              <w:t>1、给排水管路及附件；蒸汽管路及附件；泵送管路及附件；</w:t>
            </w:r>
            <w:r>
              <w:rPr>
                <w:rFonts w:hint="eastAsia" w:ascii="Calibri" w:hAnsi="Calibri"/>
                <w:sz w:val="21"/>
                <w:szCs w:val="21"/>
                <w:highlight w:val="none"/>
                <w:lang w:eastAsia="en-US"/>
              </w:rPr>
              <w:br w:type="textWrapping"/>
            </w:r>
            <w:r>
              <w:rPr>
                <w:rFonts w:hint="eastAsia" w:ascii="Calibri" w:hAnsi="Calibri"/>
                <w:sz w:val="21"/>
                <w:szCs w:val="21"/>
                <w:highlight w:val="none"/>
                <w:lang w:eastAsia="en-US"/>
              </w:rPr>
              <w:t>2、材质：给水管为PPR热熔管；排水管为UPVC管；泵送和蒸汽管路镀锌管；</w:t>
            </w:r>
          </w:p>
        </w:tc>
        <w:tc>
          <w:tcPr>
            <w:tcW w:w="451" w:type="dxa"/>
            <w:shd w:val="clear" w:color="auto" w:fill="auto"/>
            <w:vAlign w:val="center"/>
          </w:tcPr>
          <w:p w14:paraId="77C65C1E">
            <w:pPr>
              <w:widowControl/>
              <w:spacing w:line="480" w:lineRule="exact"/>
              <w:ind w:firstLine="0" w:firstLineChars="0"/>
              <w:jc w:val="center"/>
              <w:rPr>
                <w:rFonts w:ascii="Calibri" w:hAnsi="Calibri"/>
                <w:sz w:val="21"/>
                <w:szCs w:val="21"/>
                <w:highlight w:val="none"/>
                <w:lang w:eastAsia="en-US"/>
              </w:rPr>
            </w:pPr>
            <w:r>
              <w:rPr>
                <w:rFonts w:hint="eastAsia" w:ascii="Calibri" w:hAnsi="Calibri"/>
                <w:sz w:val="21"/>
                <w:szCs w:val="21"/>
                <w:highlight w:val="none"/>
                <w:lang w:eastAsia="en-US"/>
              </w:rPr>
              <w:t>批</w:t>
            </w:r>
          </w:p>
        </w:tc>
        <w:tc>
          <w:tcPr>
            <w:tcW w:w="621" w:type="dxa"/>
            <w:shd w:val="clear" w:color="auto" w:fill="auto"/>
            <w:vAlign w:val="center"/>
          </w:tcPr>
          <w:p w14:paraId="75E6A12C">
            <w:pPr>
              <w:pStyle w:val="121"/>
              <w:spacing w:line="480" w:lineRule="exact"/>
              <w:rPr>
                <w:rFonts w:ascii="Calibri" w:hAnsi="Calibri"/>
                <w:highlight w:val="none"/>
                <w:lang w:eastAsia="en-US"/>
              </w:rPr>
            </w:pPr>
            <w:r>
              <w:rPr>
                <w:rFonts w:hint="eastAsia" w:ascii="Calibri" w:hAnsi="Calibri"/>
                <w:highlight w:val="none"/>
                <w:lang w:eastAsia="en-US"/>
              </w:rPr>
              <w:t>1</w:t>
            </w:r>
          </w:p>
        </w:tc>
      </w:tr>
      <w:tr w14:paraId="3731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609BB446">
            <w:pPr>
              <w:pStyle w:val="121"/>
              <w:spacing w:line="480" w:lineRule="exact"/>
              <w:rPr>
                <w:rFonts w:ascii="Calibri" w:hAnsi="Calibri"/>
                <w:highlight w:val="none"/>
                <w:lang w:eastAsia="en-US"/>
              </w:rPr>
            </w:pPr>
            <w:r>
              <w:rPr>
                <w:rFonts w:hint="eastAsia" w:ascii="Calibri" w:hAnsi="Calibri"/>
                <w:highlight w:val="none"/>
                <w:lang w:eastAsia="en-US"/>
              </w:rPr>
              <w:t>五</w:t>
            </w:r>
          </w:p>
        </w:tc>
        <w:tc>
          <w:tcPr>
            <w:tcW w:w="9299" w:type="dxa"/>
            <w:gridSpan w:val="4"/>
            <w:shd w:val="clear" w:color="auto" w:fill="auto"/>
            <w:vAlign w:val="center"/>
          </w:tcPr>
          <w:p w14:paraId="4D66BB1E">
            <w:pPr>
              <w:pStyle w:val="121"/>
              <w:spacing w:line="480" w:lineRule="exact"/>
              <w:rPr>
                <w:rFonts w:ascii="Calibri" w:hAnsi="Calibri"/>
                <w:highlight w:val="none"/>
                <w:lang w:eastAsia="en-US"/>
              </w:rPr>
            </w:pPr>
            <w:r>
              <w:rPr>
                <w:rFonts w:ascii="Calibri" w:hAnsi="Calibri"/>
                <w:highlight w:val="none"/>
                <w:lang w:eastAsia="en-US"/>
              </w:rPr>
              <w:t>渗滤液输送单元</w:t>
            </w:r>
          </w:p>
        </w:tc>
      </w:tr>
      <w:tr w14:paraId="034E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0E0B9215">
            <w:pPr>
              <w:pStyle w:val="121"/>
              <w:spacing w:line="480" w:lineRule="exact"/>
              <w:rPr>
                <w:rFonts w:ascii="Calibri" w:hAnsi="Calibri"/>
                <w:highlight w:val="none"/>
                <w:lang w:eastAsia="en-US"/>
              </w:rPr>
            </w:pPr>
            <w:r>
              <w:rPr>
                <w:rFonts w:hint="eastAsia" w:ascii="Calibri" w:hAnsi="Calibri"/>
                <w:highlight w:val="none"/>
                <w:lang w:eastAsia="en-US"/>
              </w:rPr>
              <w:t>5.1</w:t>
            </w:r>
          </w:p>
        </w:tc>
        <w:tc>
          <w:tcPr>
            <w:tcW w:w="1057" w:type="dxa"/>
            <w:shd w:val="clear" w:color="auto" w:fill="auto"/>
            <w:vAlign w:val="center"/>
          </w:tcPr>
          <w:p w14:paraId="3FCA3829">
            <w:pPr>
              <w:pStyle w:val="121"/>
              <w:spacing w:line="480" w:lineRule="exact"/>
              <w:rPr>
                <w:rFonts w:ascii="Calibri" w:hAnsi="Calibri"/>
                <w:highlight w:val="none"/>
                <w:lang w:eastAsia="en-US"/>
              </w:rPr>
            </w:pPr>
            <w:r>
              <w:rPr>
                <w:rFonts w:hint="eastAsia" w:ascii="Calibri" w:hAnsi="Calibri"/>
                <w:highlight w:val="none"/>
                <w:lang w:eastAsia="en-US"/>
              </w:rPr>
              <w:t>潜污泵</w:t>
            </w:r>
          </w:p>
        </w:tc>
        <w:tc>
          <w:tcPr>
            <w:tcW w:w="7170" w:type="dxa"/>
            <w:shd w:val="clear" w:color="auto" w:fill="auto"/>
            <w:vAlign w:val="center"/>
          </w:tcPr>
          <w:p w14:paraId="6132846A">
            <w:pPr>
              <w:pStyle w:val="121"/>
              <w:spacing w:line="480" w:lineRule="exact"/>
              <w:rPr>
                <w:rFonts w:ascii="Calibri" w:hAnsi="Calibri"/>
                <w:highlight w:val="none"/>
                <w:lang w:eastAsia="en-US"/>
              </w:rPr>
            </w:pPr>
            <w:r>
              <w:rPr>
                <w:rFonts w:ascii="Calibri" w:hAnsi="Calibri"/>
                <w:highlight w:val="none"/>
                <w:lang w:eastAsia="en-US"/>
              </w:rPr>
              <w:t>Q=10m</w:t>
            </w:r>
            <w:r>
              <w:rPr>
                <w:rFonts w:hint="eastAsia" w:ascii="Calibri" w:hAnsi="Calibri"/>
                <w:highlight w:val="none"/>
                <w:lang w:eastAsia="en-US"/>
              </w:rPr>
              <w:t>³</w:t>
            </w:r>
            <w:r>
              <w:rPr>
                <w:rFonts w:ascii="Calibri" w:hAnsi="Calibri"/>
                <w:highlight w:val="none"/>
                <w:lang w:eastAsia="en-US"/>
              </w:rPr>
              <w:t xml:space="preserve">/h H=25m P=4KW </w:t>
            </w:r>
            <w:r>
              <w:rPr>
                <w:rFonts w:hint="eastAsia" w:ascii="Calibri" w:hAnsi="Calibri"/>
                <w:highlight w:val="none"/>
                <w:lang w:eastAsia="en-US"/>
              </w:rPr>
              <w:t>防爆 一用一备</w:t>
            </w:r>
          </w:p>
        </w:tc>
        <w:tc>
          <w:tcPr>
            <w:tcW w:w="451" w:type="dxa"/>
            <w:shd w:val="clear" w:color="auto" w:fill="auto"/>
            <w:vAlign w:val="center"/>
          </w:tcPr>
          <w:p w14:paraId="75E38F07">
            <w:pPr>
              <w:pStyle w:val="121"/>
              <w:spacing w:line="480" w:lineRule="exact"/>
              <w:rPr>
                <w:rFonts w:ascii="Calibri" w:hAnsi="Calibri"/>
                <w:highlight w:val="none"/>
                <w:lang w:eastAsia="en-US"/>
              </w:rPr>
            </w:pPr>
            <w:r>
              <w:rPr>
                <w:rFonts w:hint="eastAsia" w:ascii="Calibri" w:hAnsi="Calibri"/>
                <w:highlight w:val="none"/>
                <w:lang w:eastAsia="en-US"/>
              </w:rPr>
              <w:t>台</w:t>
            </w:r>
          </w:p>
        </w:tc>
        <w:tc>
          <w:tcPr>
            <w:tcW w:w="621" w:type="dxa"/>
            <w:shd w:val="clear" w:color="auto" w:fill="auto"/>
            <w:vAlign w:val="center"/>
          </w:tcPr>
          <w:p w14:paraId="4211B84C">
            <w:pPr>
              <w:pStyle w:val="121"/>
              <w:spacing w:line="480" w:lineRule="exact"/>
              <w:rPr>
                <w:rFonts w:ascii="Calibri" w:hAnsi="Calibri"/>
                <w:highlight w:val="none"/>
                <w:lang w:eastAsia="en-US"/>
              </w:rPr>
            </w:pPr>
            <w:r>
              <w:rPr>
                <w:rFonts w:hint="eastAsia" w:ascii="Calibri" w:hAnsi="Calibri"/>
                <w:highlight w:val="none"/>
                <w:lang w:eastAsia="en-US"/>
              </w:rPr>
              <w:t>2</w:t>
            </w:r>
          </w:p>
        </w:tc>
      </w:tr>
      <w:tr w14:paraId="3512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72C06D3B">
            <w:pPr>
              <w:pStyle w:val="121"/>
              <w:spacing w:line="480" w:lineRule="exact"/>
              <w:rPr>
                <w:rFonts w:ascii="Calibri" w:hAnsi="Calibri"/>
                <w:highlight w:val="none"/>
                <w:lang w:eastAsia="en-US"/>
              </w:rPr>
            </w:pPr>
            <w:r>
              <w:rPr>
                <w:rFonts w:hint="eastAsia" w:ascii="Calibri" w:hAnsi="Calibri"/>
                <w:highlight w:val="none"/>
                <w:lang w:eastAsia="en-US"/>
              </w:rPr>
              <w:t>5.2</w:t>
            </w:r>
          </w:p>
        </w:tc>
        <w:tc>
          <w:tcPr>
            <w:tcW w:w="1057" w:type="dxa"/>
            <w:shd w:val="clear" w:color="auto" w:fill="auto"/>
            <w:vAlign w:val="center"/>
          </w:tcPr>
          <w:p w14:paraId="2D74CD5D">
            <w:pPr>
              <w:pStyle w:val="121"/>
              <w:spacing w:line="480" w:lineRule="exact"/>
              <w:rPr>
                <w:rFonts w:ascii="Calibri" w:hAnsi="Calibri"/>
                <w:highlight w:val="none"/>
                <w:lang w:eastAsia="en-US"/>
              </w:rPr>
            </w:pPr>
            <w:r>
              <w:rPr>
                <w:rFonts w:hint="eastAsia" w:ascii="Calibri" w:hAnsi="Calibri"/>
                <w:highlight w:val="none"/>
                <w:lang w:eastAsia="en-US"/>
              </w:rPr>
              <w:t>排污管</w:t>
            </w:r>
          </w:p>
        </w:tc>
        <w:tc>
          <w:tcPr>
            <w:tcW w:w="7170" w:type="dxa"/>
            <w:shd w:val="clear" w:color="auto" w:fill="auto"/>
            <w:vAlign w:val="center"/>
          </w:tcPr>
          <w:p w14:paraId="05325C52">
            <w:pPr>
              <w:pStyle w:val="121"/>
              <w:spacing w:line="480" w:lineRule="exact"/>
              <w:rPr>
                <w:rFonts w:ascii="Calibri" w:hAnsi="Calibri"/>
                <w:highlight w:val="none"/>
                <w:lang w:eastAsia="en-US"/>
              </w:rPr>
            </w:pPr>
            <w:r>
              <w:rPr>
                <w:rFonts w:ascii="Calibri" w:hAnsi="Calibri"/>
                <w:highlight w:val="none"/>
                <w:lang w:eastAsia="en-US"/>
              </w:rPr>
              <w:t xml:space="preserve">DN65 HDPE </w:t>
            </w:r>
          </w:p>
        </w:tc>
        <w:tc>
          <w:tcPr>
            <w:tcW w:w="451" w:type="dxa"/>
            <w:shd w:val="clear" w:color="auto" w:fill="auto"/>
            <w:vAlign w:val="center"/>
          </w:tcPr>
          <w:p w14:paraId="09906506">
            <w:pPr>
              <w:pStyle w:val="121"/>
              <w:spacing w:line="480" w:lineRule="exact"/>
              <w:rPr>
                <w:rFonts w:ascii="Calibri" w:hAnsi="Calibri"/>
                <w:highlight w:val="none"/>
                <w:lang w:eastAsia="en-US"/>
              </w:rPr>
            </w:pPr>
            <w:r>
              <w:rPr>
                <w:rFonts w:hint="eastAsia" w:ascii="Calibri" w:hAnsi="Calibri"/>
                <w:highlight w:val="none"/>
                <w:lang w:eastAsia="en-US"/>
              </w:rPr>
              <w:t>米</w:t>
            </w:r>
          </w:p>
        </w:tc>
        <w:tc>
          <w:tcPr>
            <w:tcW w:w="621" w:type="dxa"/>
            <w:shd w:val="clear" w:color="auto" w:fill="auto"/>
            <w:vAlign w:val="center"/>
          </w:tcPr>
          <w:p w14:paraId="50BFDD62">
            <w:pPr>
              <w:pStyle w:val="121"/>
              <w:spacing w:line="480" w:lineRule="exact"/>
              <w:rPr>
                <w:rFonts w:ascii="Calibri" w:hAnsi="Calibri"/>
                <w:highlight w:val="none"/>
                <w:lang w:eastAsia="en-US"/>
              </w:rPr>
            </w:pPr>
            <w:r>
              <w:rPr>
                <w:rFonts w:hint="eastAsia" w:ascii="Calibri" w:hAnsi="Calibri"/>
                <w:highlight w:val="none"/>
                <w:lang w:eastAsia="en-US"/>
              </w:rPr>
              <w:t>130</w:t>
            </w:r>
          </w:p>
        </w:tc>
      </w:tr>
      <w:tr w14:paraId="44C4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 w:type="dxa"/>
            <w:shd w:val="clear" w:color="auto" w:fill="auto"/>
            <w:vAlign w:val="center"/>
          </w:tcPr>
          <w:p w14:paraId="3F162721">
            <w:pPr>
              <w:pStyle w:val="121"/>
              <w:spacing w:line="480" w:lineRule="exact"/>
              <w:rPr>
                <w:rFonts w:ascii="Calibri" w:hAnsi="Calibri"/>
                <w:highlight w:val="none"/>
                <w:lang w:eastAsia="en-US"/>
              </w:rPr>
            </w:pPr>
            <w:r>
              <w:rPr>
                <w:rFonts w:hint="eastAsia" w:ascii="Calibri" w:hAnsi="Calibri"/>
                <w:highlight w:val="none"/>
                <w:lang w:eastAsia="en-US"/>
              </w:rPr>
              <w:t>5.3</w:t>
            </w:r>
          </w:p>
        </w:tc>
        <w:tc>
          <w:tcPr>
            <w:tcW w:w="1057" w:type="dxa"/>
            <w:shd w:val="clear" w:color="auto" w:fill="auto"/>
            <w:vAlign w:val="center"/>
          </w:tcPr>
          <w:p w14:paraId="548F6FED">
            <w:pPr>
              <w:pStyle w:val="121"/>
              <w:spacing w:line="480" w:lineRule="exact"/>
              <w:rPr>
                <w:rFonts w:ascii="Calibri" w:hAnsi="Calibri"/>
                <w:highlight w:val="none"/>
                <w:lang w:eastAsia="en-US"/>
              </w:rPr>
            </w:pPr>
            <w:r>
              <w:rPr>
                <w:rFonts w:hint="eastAsia" w:ascii="Calibri" w:hAnsi="Calibri"/>
                <w:highlight w:val="none"/>
                <w:lang w:eastAsia="en-US"/>
              </w:rPr>
              <w:t>电磁流量计</w:t>
            </w:r>
          </w:p>
        </w:tc>
        <w:tc>
          <w:tcPr>
            <w:tcW w:w="7170" w:type="dxa"/>
            <w:shd w:val="clear" w:color="auto" w:fill="auto"/>
            <w:vAlign w:val="center"/>
          </w:tcPr>
          <w:p w14:paraId="3C5BEAA4">
            <w:pPr>
              <w:pStyle w:val="121"/>
              <w:spacing w:line="480" w:lineRule="exact"/>
              <w:rPr>
                <w:rFonts w:ascii="Calibri" w:hAnsi="Calibri"/>
                <w:szCs w:val="24"/>
                <w:highlight w:val="none"/>
                <w:lang w:eastAsia="en-US"/>
              </w:rPr>
            </w:pPr>
            <w:r>
              <w:rPr>
                <w:rFonts w:hint="eastAsia" w:ascii="Calibri" w:hAnsi="Calibri"/>
                <w:highlight w:val="none"/>
                <w:lang w:eastAsia="en-US"/>
              </w:rPr>
              <w:t>Q=10m³/h、</w:t>
            </w:r>
            <w:r>
              <w:rPr>
                <w:rFonts w:ascii="Calibri" w:hAnsi="Calibri"/>
                <w:highlight w:val="none"/>
                <w:lang w:eastAsia="en-US"/>
              </w:rPr>
              <w:t>设置在排污管前端</w:t>
            </w:r>
          </w:p>
        </w:tc>
        <w:tc>
          <w:tcPr>
            <w:tcW w:w="451" w:type="dxa"/>
            <w:shd w:val="clear" w:color="auto" w:fill="auto"/>
            <w:vAlign w:val="center"/>
          </w:tcPr>
          <w:p w14:paraId="20709077">
            <w:pPr>
              <w:pStyle w:val="121"/>
              <w:spacing w:line="480" w:lineRule="exact"/>
              <w:rPr>
                <w:rFonts w:ascii="Calibri" w:hAnsi="Calibri"/>
                <w:highlight w:val="none"/>
                <w:lang w:eastAsia="en-US"/>
              </w:rPr>
            </w:pPr>
            <w:r>
              <w:rPr>
                <w:rFonts w:ascii="Calibri" w:hAnsi="Calibri"/>
                <w:highlight w:val="none"/>
                <w:lang w:eastAsia="en-US"/>
              </w:rPr>
              <w:t>套</w:t>
            </w:r>
          </w:p>
        </w:tc>
        <w:tc>
          <w:tcPr>
            <w:tcW w:w="621" w:type="dxa"/>
            <w:shd w:val="clear" w:color="auto" w:fill="auto"/>
            <w:vAlign w:val="center"/>
          </w:tcPr>
          <w:p w14:paraId="60DEC261">
            <w:pPr>
              <w:pStyle w:val="121"/>
              <w:spacing w:line="480" w:lineRule="exact"/>
              <w:rPr>
                <w:rFonts w:ascii="Calibri" w:hAnsi="Calibri"/>
                <w:highlight w:val="none"/>
                <w:lang w:eastAsia="en-US"/>
              </w:rPr>
            </w:pPr>
            <w:r>
              <w:rPr>
                <w:rFonts w:ascii="Calibri" w:hAnsi="Calibri"/>
                <w:highlight w:val="none"/>
                <w:lang w:eastAsia="en-US"/>
              </w:rPr>
              <w:t>1</w:t>
            </w:r>
          </w:p>
        </w:tc>
      </w:tr>
    </w:tbl>
    <w:p w14:paraId="235B1555">
      <w:pPr>
        <w:spacing w:line="480" w:lineRule="exact"/>
        <w:ind w:firstLine="480"/>
        <w:rPr>
          <w:kern w:val="0"/>
          <w:highlight w:val="none"/>
        </w:rPr>
      </w:pPr>
      <w:r>
        <w:rPr>
          <w:rFonts w:hint="eastAsia"/>
          <w:highlight w:val="none"/>
        </w:rPr>
        <w:t>备注：</w:t>
      </w:r>
      <w:r>
        <w:rPr>
          <w:kern w:val="0"/>
          <w:highlight w:val="none"/>
        </w:rPr>
        <w:t>以上主要设备一览表清单作为招标工程最低要求，供投标人参考，最终供货应满足项目施工需要，如上表</w:t>
      </w:r>
      <w:r>
        <w:rPr>
          <w:rFonts w:hint="eastAsia"/>
          <w:kern w:val="0"/>
          <w:highlight w:val="none"/>
        </w:rPr>
        <w:t>有需要补充的清单</w:t>
      </w:r>
      <w:r>
        <w:rPr>
          <w:kern w:val="0"/>
          <w:highlight w:val="none"/>
        </w:rPr>
        <w:t>，投标人需无条件满足，价格不作调整。具体设备尺寸仅做参考，</w:t>
      </w:r>
      <w:r>
        <w:rPr>
          <w:rFonts w:hint="eastAsia"/>
          <w:kern w:val="0"/>
          <w:highlight w:val="none"/>
        </w:rPr>
        <w:t>在</w:t>
      </w:r>
      <w:r>
        <w:rPr>
          <w:kern w:val="0"/>
          <w:highlight w:val="none"/>
        </w:rPr>
        <w:t>满足项目需要的前提下投标人可自行优化调整。</w:t>
      </w:r>
    </w:p>
    <w:p w14:paraId="443898B5">
      <w:pPr>
        <w:spacing w:line="480" w:lineRule="exact"/>
        <w:ind w:firstLine="482"/>
        <w:rPr>
          <w:b/>
          <w:bCs/>
          <w:highlight w:val="none"/>
        </w:rPr>
      </w:pPr>
      <w:r>
        <w:rPr>
          <w:rFonts w:hint="eastAsia"/>
          <w:b/>
          <w:bCs/>
          <w:highlight w:val="none"/>
        </w:rPr>
        <w:t>★为了响应国家的节能政策，投标人应为机械设备配置能耗低、效率高的节能型电动机。</w:t>
      </w:r>
      <w:r>
        <w:rPr>
          <w:rFonts w:hint="eastAsia"/>
          <w:b/>
          <w:bCs/>
          <w:kern w:val="0"/>
          <w:highlight w:val="none"/>
        </w:rPr>
        <w:t>所有</w:t>
      </w:r>
      <w:r>
        <w:rPr>
          <w:rFonts w:hint="eastAsia"/>
          <w:b/>
          <w:bCs/>
          <w:highlight w:val="none"/>
        </w:rPr>
        <w:t>电动机的自然功率因数不低于0.8。所有电动机均采用节能电动机，电动机的能效等级应达到GB18613-2020《中小型三相异步电动机能效限定值及能效等级》中规定的2级标准，同时需具有2级中国能效标识。投标人在投标文件中提供所投产品电机能效等级的证明文件。（提供具备CMA认证的第三方检测机构出具的检测报告或承诺函上传至电子投标文件中）</w:t>
      </w:r>
    </w:p>
    <w:p w14:paraId="3903C873">
      <w:pPr>
        <w:pStyle w:val="103"/>
        <w:numPr>
          <w:ilvl w:val="2"/>
          <w:numId w:val="0"/>
        </w:numPr>
        <w:spacing w:line="480" w:lineRule="exact"/>
        <w:ind w:left="240"/>
        <w:rPr>
          <w:highlight w:val="none"/>
        </w:rPr>
      </w:pPr>
      <w:r>
        <w:rPr>
          <w:rFonts w:hint="eastAsia"/>
          <w:highlight w:val="none"/>
        </w:rPr>
        <w:t xml:space="preserve">  1.5肥料技术要求</w:t>
      </w:r>
    </w:p>
    <w:p w14:paraId="5DCE2E8A">
      <w:pPr>
        <w:spacing w:line="480" w:lineRule="exact"/>
        <w:ind w:firstLine="482"/>
        <w:rPr>
          <w:b/>
          <w:bCs/>
          <w:highlight w:val="none"/>
        </w:rPr>
      </w:pPr>
      <w:bookmarkStart w:id="43" w:name="OLE_LINK10"/>
      <w:r>
        <w:rPr>
          <w:rFonts w:hint="eastAsia"/>
          <w:b/>
          <w:bCs/>
          <w:highlight w:val="none"/>
        </w:rPr>
        <w:t>1.5.1★</w:t>
      </w:r>
      <w:bookmarkEnd w:id="43"/>
      <w:r>
        <w:rPr>
          <w:rFonts w:hint="eastAsia"/>
          <w:b/>
          <w:bCs/>
          <w:highlight w:val="none"/>
        </w:rPr>
        <w:t>产品有机肥原料可达到农业行业标准《有机原料》（NY/T525-2021）规定的相关要求。（提供具备CMA认证的第三方检测机构出具的有机肥检测报告上传至电子投标文件中）</w:t>
      </w:r>
    </w:p>
    <w:p w14:paraId="5D9F9F4B">
      <w:pPr>
        <w:pStyle w:val="101"/>
        <w:numPr>
          <w:ilvl w:val="1"/>
          <w:numId w:val="0"/>
        </w:numPr>
        <w:spacing w:line="480" w:lineRule="exact"/>
        <w:rPr>
          <w:highlight w:val="none"/>
        </w:rPr>
      </w:pPr>
      <w:r>
        <w:rPr>
          <w:rFonts w:hint="eastAsia"/>
          <w:highlight w:val="none"/>
        </w:rPr>
        <w:t>六、主要设备参数要求</w:t>
      </w:r>
    </w:p>
    <w:p w14:paraId="57992E35">
      <w:pPr>
        <w:pStyle w:val="103"/>
        <w:numPr>
          <w:ilvl w:val="2"/>
          <w:numId w:val="0"/>
        </w:numPr>
        <w:spacing w:line="480" w:lineRule="exact"/>
        <w:ind w:left="240" w:firstLine="241" w:firstLineChars="100"/>
        <w:rPr>
          <w:highlight w:val="none"/>
        </w:rPr>
      </w:pPr>
      <w:bookmarkStart w:id="44" w:name="OLE_LINK4"/>
      <w:bookmarkStart w:id="45" w:name="OLE_LINK5"/>
      <w:r>
        <w:rPr>
          <w:rFonts w:hint="eastAsia"/>
          <w:highlight w:val="none"/>
        </w:rPr>
        <w:t>1.1物料接收单元</w:t>
      </w:r>
    </w:p>
    <w:p w14:paraId="4352774D">
      <w:pPr>
        <w:spacing w:line="480" w:lineRule="exact"/>
        <w:ind w:firstLine="480"/>
        <w:rPr>
          <w:highlight w:val="none"/>
        </w:rPr>
      </w:pPr>
      <w:bookmarkStart w:id="46" w:name="OLE_LINK7"/>
      <w:r>
        <w:rPr>
          <w:rFonts w:hint="eastAsia"/>
          <w:highlight w:val="none"/>
        </w:rPr>
        <w:t>1.1.1卸料仓、沥水螺旋给料机及螺旋输送机等组成物料接收单元。</w:t>
      </w:r>
    </w:p>
    <w:bookmarkEnd w:id="46"/>
    <w:p w14:paraId="437C53AB">
      <w:pPr>
        <w:spacing w:line="480" w:lineRule="exact"/>
        <w:ind w:firstLine="482"/>
        <w:rPr>
          <w:b/>
          <w:bCs/>
          <w:highlight w:val="none"/>
        </w:rPr>
      </w:pPr>
      <w:bookmarkStart w:id="47" w:name="_Hlk212558290"/>
      <w:r>
        <w:rPr>
          <w:rFonts w:hint="eastAsia"/>
          <w:b/>
          <w:bCs/>
          <w:highlight w:val="none"/>
        </w:rPr>
        <w:t>1.2卸料仓</w:t>
      </w:r>
    </w:p>
    <w:p w14:paraId="7D6F2797">
      <w:pPr>
        <w:spacing w:line="480" w:lineRule="exact"/>
        <w:ind w:firstLine="480"/>
        <w:rPr>
          <w:highlight w:val="none"/>
        </w:rPr>
      </w:pPr>
      <w:r>
        <w:rPr>
          <w:rFonts w:hint="eastAsia"/>
          <w:highlight w:val="none"/>
        </w:rPr>
        <w:t>1.2.1功能要求</w:t>
      </w:r>
    </w:p>
    <w:bookmarkEnd w:id="47"/>
    <w:p w14:paraId="396AED40">
      <w:pPr>
        <w:spacing w:line="480" w:lineRule="exact"/>
        <w:ind w:firstLine="480"/>
        <w:rPr>
          <w:highlight w:val="none"/>
        </w:rPr>
      </w:pPr>
      <w:r>
        <w:rPr>
          <w:rFonts w:hint="eastAsia"/>
          <w:highlight w:val="none"/>
        </w:rPr>
        <w:t>1.2.1.1接料装置接收餐厨废弃物毛料，将其输送至破袋机和大物质分拣机进行餐厨原料的分选及破碎，同时将物料中的游离液体沥出，减少杂物中的液态有机物含量。</w:t>
      </w:r>
    </w:p>
    <w:p w14:paraId="554728C8">
      <w:pPr>
        <w:spacing w:line="480" w:lineRule="exact"/>
        <w:ind w:firstLine="480"/>
        <w:rPr>
          <w:highlight w:val="none"/>
        </w:rPr>
      </w:pPr>
      <w:r>
        <w:rPr>
          <w:rFonts w:hint="eastAsia"/>
          <w:highlight w:val="none"/>
        </w:rPr>
        <w:t>1.2.2设备要求</w:t>
      </w:r>
    </w:p>
    <w:p w14:paraId="5EFFC02A">
      <w:pPr>
        <w:spacing w:line="480" w:lineRule="exact"/>
        <w:ind w:firstLine="480"/>
        <w:rPr>
          <w:highlight w:val="none"/>
        </w:rPr>
      </w:pPr>
      <w:r>
        <w:rPr>
          <w:rFonts w:hint="eastAsia"/>
          <w:highlight w:val="none"/>
        </w:rPr>
        <w:t>1.2.2.1基本要求：接料斗容积≥20m³，</w:t>
      </w:r>
      <w:r>
        <w:rPr>
          <w:highlight w:val="none"/>
        </w:rPr>
        <w:t>料斗带密封盖，</w:t>
      </w:r>
      <w:r>
        <w:rPr>
          <w:rFonts w:hint="eastAsia"/>
          <w:highlight w:val="none"/>
        </w:rPr>
        <w:t>物料接触部分为 304 不锈钢，厚度≥3mm；</w:t>
      </w:r>
      <w:r>
        <w:rPr>
          <w:highlight w:val="none"/>
        </w:rPr>
        <w:t>机架采用碳钢防 腐；不锈钢上盖壳板，耐腐蚀，耐酸碱。通过液压机组开启 关闭；冬季可对物料预热，采用蒸汽加热；液压站：双作用油缸，缸径φ 63，高压油管 16Mpa，双向液 压锁安全控制</w:t>
      </w:r>
      <w:r>
        <w:rPr>
          <w:rFonts w:hint="eastAsia"/>
          <w:highlight w:val="none"/>
        </w:rPr>
        <w:t>。</w:t>
      </w:r>
    </w:p>
    <w:p w14:paraId="269A1318">
      <w:pPr>
        <w:spacing w:line="480" w:lineRule="exact"/>
        <w:ind w:firstLine="480"/>
        <w:rPr>
          <w:highlight w:val="none"/>
        </w:rPr>
      </w:pPr>
      <w:r>
        <w:rPr>
          <w:rFonts w:hint="eastAsia"/>
          <w:highlight w:val="none"/>
        </w:rPr>
        <w:t>1.2.2.2其它要求：接收料斗有效容积应与高峰期来料、设备处理能力相匹配，接收料斗、螺旋输送机耐腐蚀、耐磨损、防缠绕，使用寿命长，应充分考虑原料的复杂性，设计上需考虑到防卡死、均料等功能；同时保证料斗底部不积料，液体排出顺畅、不泄漏；设置滤水装置，应实现最大限度滤水，滤网孔不堵塞，且保证输送机稳定、可靠、连续的运行。</w:t>
      </w:r>
    </w:p>
    <w:p w14:paraId="566C4961">
      <w:pPr>
        <w:spacing w:line="480" w:lineRule="exact"/>
        <w:ind w:firstLine="482"/>
        <w:rPr>
          <w:b/>
          <w:bCs/>
          <w:highlight w:val="none"/>
        </w:rPr>
      </w:pPr>
      <w:r>
        <w:rPr>
          <w:rFonts w:hint="eastAsia"/>
          <w:b/>
          <w:bCs/>
          <w:highlight w:val="none"/>
        </w:rPr>
        <w:t>1.3沥水螺旋给料机</w:t>
      </w:r>
    </w:p>
    <w:p w14:paraId="6A4808EC">
      <w:pPr>
        <w:spacing w:line="480" w:lineRule="exact"/>
        <w:ind w:firstLine="480"/>
        <w:rPr>
          <w:highlight w:val="none"/>
        </w:rPr>
      </w:pPr>
      <w:r>
        <w:rPr>
          <w:rFonts w:hint="eastAsia"/>
          <w:highlight w:val="none"/>
        </w:rPr>
        <w:t>1.3.1</w:t>
      </w:r>
      <w:r>
        <w:rPr>
          <w:highlight w:val="none"/>
        </w:rPr>
        <w:t>输送量：≥</w:t>
      </w:r>
      <w:r>
        <w:rPr>
          <w:rFonts w:hint="eastAsia"/>
          <w:highlight w:val="none"/>
        </w:rPr>
        <w:t>8-10</w:t>
      </w:r>
      <w:r>
        <w:rPr>
          <w:highlight w:val="none"/>
        </w:rPr>
        <w:t>T/h</w:t>
      </w:r>
      <w:r>
        <w:rPr>
          <w:rFonts w:hint="eastAsia"/>
          <w:highlight w:val="none"/>
        </w:rPr>
        <w:t>；</w:t>
      </w:r>
      <w:r>
        <w:rPr>
          <w:highlight w:val="none"/>
        </w:rPr>
        <w:t>400型无轴螺旋；不锈钢楔网沥水，可变频调速、正反转；螺旋直径400mm，叶片厚度22mm，高分子UPE耐磨板，板厚10mm；螺旋材质16Mn，壳体材质304不锈钢，板厚4mm。</w:t>
      </w:r>
    </w:p>
    <w:p w14:paraId="5ED9AE1E">
      <w:pPr>
        <w:pStyle w:val="103"/>
        <w:numPr>
          <w:ilvl w:val="2"/>
          <w:numId w:val="0"/>
        </w:numPr>
        <w:spacing w:line="480" w:lineRule="exact"/>
        <w:ind w:left="240" w:firstLine="241" w:firstLineChars="100"/>
        <w:rPr>
          <w:highlight w:val="none"/>
        </w:rPr>
      </w:pPr>
      <w:r>
        <w:rPr>
          <w:rFonts w:hint="eastAsia"/>
          <w:highlight w:val="none"/>
        </w:rPr>
        <w:t>1.4大物质分选机单元</w:t>
      </w:r>
    </w:p>
    <w:p w14:paraId="6BA32BC9">
      <w:pPr>
        <w:spacing w:line="480" w:lineRule="exact"/>
        <w:ind w:firstLine="480"/>
        <w:rPr>
          <w:highlight w:val="none"/>
        </w:rPr>
      </w:pPr>
      <w:r>
        <w:rPr>
          <w:rFonts w:hint="eastAsia"/>
          <w:highlight w:val="none"/>
        </w:rPr>
        <w:t>1.4.1大物质分选机</w:t>
      </w:r>
    </w:p>
    <w:p w14:paraId="3FB90C54">
      <w:pPr>
        <w:spacing w:line="480" w:lineRule="exact"/>
        <w:ind w:firstLine="480"/>
        <w:rPr>
          <w:highlight w:val="none"/>
        </w:rPr>
      </w:pPr>
      <w:r>
        <w:rPr>
          <w:rFonts w:hint="eastAsia"/>
          <w:highlight w:val="none"/>
        </w:rPr>
        <w:t>1.4.1.1大物质分选机主要结构由机座、筛筒、破袋装置、电机、传动装置、支撑装置、清堵装置、止推机构、外罩、风机、风管、电控装置等部分组成。机座采用槽钢焊接，筛筒用板材组焊，筒体上根据不同垃圾的分选要求设计为不同直径的筛孔，筒体内部设有导料螺旋板、破袋和破碎刀、扬料板及固体分选出料口。</w:t>
      </w:r>
    </w:p>
    <w:p w14:paraId="6964DA01">
      <w:pPr>
        <w:spacing w:line="480" w:lineRule="exact"/>
        <w:ind w:firstLine="480"/>
        <w:rPr>
          <w:highlight w:val="none"/>
        </w:rPr>
      </w:pPr>
      <w:r>
        <w:rPr>
          <w:rFonts w:hint="eastAsia"/>
          <w:highlight w:val="none"/>
        </w:rPr>
        <w:t>1.4.1.2</w:t>
      </w:r>
      <w:r>
        <w:rPr>
          <w:highlight w:val="none"/>
        </w:rPr>
        <w:t>粗分单元采用自动分拣机实现对餐厨</w:t>
      </w:r>
      <w:r>
        <w:rPr>
          <w:rFonts w:hint="eastAsia"/>
          <w:highlight w:val="none"/>
        </w:rPr>
        <w:t>垃圾</w:t>
      </w:r>
      <w:r>
        <w:rPr>
          <w:highlight w:val="none"/>
        </w:rPr>
        <w:t>进行有机物粗分选，可实现粗大物料如玻璃瓶、盘、碟、塑料等杂物的有效分选，保证分选过程中脆性杂物不破碎，杂物去除率高，系统出料粒径</w:t>
      </w:r>
      <w:r>
        <w:rPr>
          <w:rFonts w:hint="eastAsia"/>
          <w:highlight w:val="none"/>
        </w:rPr>
        <w:t>≤</w:t>
      </w:r>
      <w:r>
        <w:rPr>
          <w:highlight w:val="none"/>
        </w:rPr>
        <w:t>60mm，同时设有回用热水喷淋功能，分离出的杂物干净，有机质回收率高。自动分拣机为全封闭结构，内部旋转的装置对有机物起到破碎分离功能并将大的杂质（如玻璃瓶、饮料瓶、易拉罐）分出。</w:t>
      </w:r>
    </w:p>
    <w:bookmarkEnd w:id="44"/>
    <w:bookmarkEnd w:id="45"/>
    <w:p w14:paraId="46124EDE">
      <w:pPr>
        <w:spacing w:line="480" w:lineRule="exact"/>
        <w:ind w:firstLine="480"/>
        <w:rPr>
          <w:highlight w:val="none"/>
        </w:rPr>
      </w:pPr>
      <w:bookmarkStart w:id="48" w:name="OLE_LINK45"/>
      <w:bookmarkStart w:id="49" w:name="OLE_LINK44"/>
      <w:bookmarkStart w:id="50" w:name="OLE_LINK42"/>
      <w:bookmarkStart w:id="51" w:name="OLE_LINK43"/>
      <w:r>
        <w:rPr>
          <w:rFonts w:hint="eastAsia"/>
          <w:highlight w:val="none"/>
        </w:rPr>
        <w:t>1.4.1.3</w:t>
      </w:r>
      <w:r>
        <w:rPr>
          <w:highlight w:val="none"/>
        </w:rPr>
        <w:t>处理能力：≥</w:t>
      </w:r>
      <w:r>
        <w:rPr>
          <w:rFonts w:hint="eastAsia"/>
          <w:highlight w:val="none"/>
        </w:rPr>
        <w:t>8-10t</w:t>
      </w:r>
      <w:r>
        <w:rPr>
          <w:highlight w:val="none"/>
        </w:rPr>
        <w:t>/h</w:t>
      </w:r>
      <w:bookmarkEnd w:id="48"/>
      <w:bookmarkEnd w:id="49"/>
      <w:r>
        <w:rPr>
          <w:highlight w:val="none"/>
        </w:rPr>
        <w:t>；可水洗脱油、脱盐；螺旋进出料；滚筒变频调速；全自动智能水泵；滚筒双导程设计，出料快，筛选分离高；壳体和滚筒采用不锈钢，机架碳钢防腐</w:t>
      </w:r>
      <w:r>
        <w:rPr>
          <w:rFonts w:hint="eastAsia"/>
          <w:highlight w:val="none"/>
        </w:rPr>
        <w:t>。</w:t>
      </w:r>
    </w:p>
    <w:bookmarkEnd w:id="50"/>
    <w:bookmarkEnd w:id="51"/>
    <w:p w14:paraId="3A673B51">
      <w:pPr>
        <w:pStyle w:val="103"/>
        <w:numPr>
          <w:ilvl w:val="2"/>
          <w:numId w:val="0"/>
        </w:numPr>
        <w:spacing w:line="480" w:lineRule="exact"/>
        <w:ind w:left="240"/>
        <w:rPr>
          <w:highlight w:val="none"/>
        </w:rPr>
      </w:pPr>
      <w:r>
        <w:rPr>
          <w:rFonts w:hint="eastAsia"/>
          <w:highlight w:val="none"/>
        </w:rPr>
        <w:t xml:space="preserve"> 1.5精分破碎、渣料脱水单元</w:t>
      </w:r>
    </w:p>
    <w:p w14:paraId="39042C2E">
      <w:pPr>
        <w:spacing w:line="480" w:lineRule="exact"/>
        <w:ind w:firstLine="480"/>
        <w:rPr>
          <w:highlight w:val="none"/>
        </w:rPr>
      </w:pPr>
      <w:r>
        <w:rPr>
          <w:rFonts w:hint="eastAsia"/>
          <w:highlight w:val="none"/>
        </w:rPr>
        <w:t>1.5.1破碎制浆分选一体机：处理量：8～10t/h；功率P=45kW；变频电机调速；剖分式重载轴承座；自清洗结构；双重过载保护；材质：主体材质304不锈钢+高锰钢；转子为高锰钢堆焊耐磨合金；机架碳钢防腐；钢构橡胶减震器；进口PVC或氟胶布软连接；</w:t>
      </w:r>
    </w:p>
    <w:p w14:paraId="32EBF1D2">
      <w:pPr>
        <w:spacing w:line="480" w:lineRule="exact"/>
        <w:ind w:firstLine="480"/>
        <w:rPr>
          <w:highlight w:val="none"/>
        </w:rPr>
      </w:pPr>
      <w:r>
        <w:rPr>
          <w:rFonts w:hint="eastAsia"/>
          <w:highlight w:val="none"/>
        </w:rPr>
        <w:t>1.5.2渣料脱水机：高速离心式除杂除砂机；处理量：8～10t/h；功率：22KW；变频调速处理量可控；全自动清洗结构；重载剖分式轴承；材质：主体为304不锈钢；转子推进冲击面堆焊耐磨合金；钢构橡胶减震器；机架材质碳钢防腐200*100矩形管；进口PVC或氟胶布软连接；</w:t>
      </w:r>
    </w:p>
    <w:p w14:paraId="718EDAE8">
      <w:pPr>
        <w:spacing w:line="480" w:lineRule="exact"/>
        <w:ind w:firstLine="480"/>
        <w:rPr>
          <w:highlight w:val="none"/>
        </w:rPr>
      </w:pPr>
      <w:r>
        <w:rPr>
          <w:rFonts w:hint="eastAsia"/>
          <w:highlight w:val="none"/>
        </w:rPr>
        <w:t>1.5.3</w:t>
      </w:r>
      <w:r>
        <w:rPr>
          <w:highlight w:val="none"/>
        </w:rPr>
        <w:t>渣料提升机</w:t>
      </w:r>
      <w:r>
        <w:rPr>
          <w:rFonts w:hint="eastAsia"/>
          <w:highlight w:val="none"/>
        </w:rPr>
        <w:t>：</w:t>
      </w:r>
      <w:r>
        <w:rPr>
          <w:highlight w:val="none"/>
        </w:rPr>
        <w:t>输送量：≥ 5T/h；无轴螺旋，过载保护；快修支架结构；机架碳钢防腐；壳体201不锈钢；螺旋16Mn；衬板高分力量UPE；</w:t>
      </w:r>
    </w:p>
    <w:p w14:paraId="450D24B9">
      <w:pPr>
        <w:spacing w:line="480" w:lineRule="exact"/>
        <w:ind w:firstLine="480"/>
        <w:rPr>
          <w:highlight w:val="none"/>
        </w:rPr>
      </w:pPr>
      <w:r>
        <w:rPr>
          <w:rFonts w:hint="eastAsia"/>
          <w:highlight w:val="none"/>
        </w:rPr>
        <w:t>1.5.4提升螺旋：无轴螺旋，输送量：8～10t/h；减速电机功率：5.5KW；螺旋可变频调速，过载保护；采用快修支架结构；材质：壳体-盖板不锈钢，板厚：3mm；螺旋16Mn；衬板超高分子UPE+304楔网；机架碳钢防腐；</w:t>
      </w:r>
    </w:p>
    <w:p w14:paraId="7E537EC9">
      <w:pPr>
        <w:spacing w:line="480" w:lineRule="exact"/>
        <w:ind w:firstLine="480"/>
        <w:rPr>
          <w:highlight w:val="none"/>
        </w:rPr>
      </w:pPr>
      <w:r>
        <w:rPr>
          <w:rFonts w:hint="eastAsia"/>
          <w:highlight w:val="none"/>
        </w:rPr>
        <w:t>1.5.5细渣螺旋：无轴螺旋，输送量：5t/h；减速电机功率：4KW；过载保护；采用快修支架结构；材质：壳体-盖板不锈钢，板厚：3mm；螺旋16Mn；衬板超高分子UPE+304楔网；机架碳钢防腐；</w:t>
      </w:r>
    </w:p>
    <w:p w14:paraId="67EAEFA5">
      <w:pPr>
        <w:spacing w:line="480" w:lineRule="exact"/>
        <w:ind w:firstLine="480"/>
        <w:rPr>
          <w:highlight w:val="none"/>
        </w:rPr>
      </w:pPr>
      <w:r>
        <w:rPr>
          <w:rFonts w:hint="eastAsia"/>
          <w:highlight w:val="none"/>
        </w:rPr>
        <w:t>1.5.6汇总螺旋：无轴螺旋，输送量：5～8t/h；减速电机功率：7.5KW；过载保护；采用快修支架结构；材质：壳体-盖板不锈钢，板厚：3mm；螺旋16Mn；衬板超高分子UPE+304楔网；机架碳钢防腐；</w:t>
      </w:r>
    </w:p>
    <w:p w14:paraId="645E2CA7">
      <w:pPr>
        <w:spacing w:line="480" w:lineRule="exact"/>
        <w:ind w:firstLine="480"/>
        <w:rPr>
          <w:highlight w:val="none"/>
        </w:rPr>
      </w:pPr>
      <w:r>
        <w:rPr>
          <w:rFonts w:hint="eastAsia"/>
          <w:highlight w:val="none"/>
        </w:rPr>
        <w:t>1.5.7</w:t>
      </w:r>
      <w:r>
        <w:rPr>
          <w:highlight w:val="none"/>
        </w:rPr>
        <w:t>螺旋分料机</w:t>
      </w:r>
      <w:r>
        <w:rPr>
          <w:rFonts w:hint="eastAsia"/>
          <w:highlight w:val="none"/>
        </w:rPr>
        <w:t>：无轴螺旋，输送量：5t/h；减速电机功率：7.5KW；过载保护；采用快修支架结构；材质：壳体-盖板不锈钢，板厚：3mm；螺旋16Mn；衬板超高分子UPE+304楔网；机架碳钢防腐；</w:t>
      </w:r>
    </w:p>
    <w:p w14:paraId="389DFA9D">
      <w:pPr>
        <w:pStyle w:val="103"/>
        <w:numPr>
          <w:ilvl w:val="2"/>
          <w:numId w:val="0"/>
        </w:numPr>
        <w:spacing w:line="480" w:lineRule="exact"/>
        <w:ind w:left="240" w:firstLine="241" w:firstLineChars="100"/>
        <w:rPr>
          <w:highlight w:val="none"/>
        </w:rPr>
      </w:pPr>
      <w:r>
        <w:rPr>
          <w:rFonts w:hint="eastAsia"/>
          <w:highlight w:val="none"/>
        </w:rPr>
        <w:t>1.6加热、油脂提取单元</w:t>
      </w:r>
    </w:p>
    <w:p w14:paraId="518A0A67">
      <w:pPr>
        <w:spacing w:line="480" w:lineRule="exact"/>
        <w:ind w:firstLine="480"/>
        <w:rPr>
          <w:highlight w:val="none"/>
        </w:rPr>
      </w:pPr>
      <w:r>
        <w:rPr>
          <w:rFonts w:hint="eastAsia"/>
          <w:highlight w:val="none"/>
        </w:rPr>
        <w:t>1.6.1餐厨垃圾浆料进入加热缓存罐（蒸煮罐），通过蒸汽直喷加热，将物料快速加热至80-85℃，然后进入三相提油单元。</w:t>
      </w:r>
    </w:p>
    <w:p w14:paraId="5924BC0A">
      <w:pPr>
        <w:spacing w:line="480" w:lineRule="exact"/>
        <w:ind w:firstLine="480"/>
        <w:rPr>
          <w:highlight w:val="none"/>
        </w:rPr>
      </w:pPr>
      <w:r>
        <w:rPr>
          <w:rFonts w:hint="eastAsia"/>
          <w:highlight w:val="none"/>
        </w:rPr>
        <w:t>1.6.2蒸汽发生器：额定蒸发量：500kg;额定功率：360KW；额定压力：0.7mpa;饱和蒸汽温度：170℃;;热效率：99%;电源压力：380V;PLC变频控制；全自动运行；双重过载保护；出汽口：DN40；保温蒸汽管路，安装用附件截止阀，压力表，安全阀等；</w:t>
      </w:r>
    </w:p>
    <w:p w14:paraId="0ED5A4B2">
      <w:pPr>
        <w:spacing w:line="480" w:lineRule="exact"/>
        <w:ind w:firstLine="480"/>
        <w:rPr>
          <w:highlight w:val="none"/>
        </w:rPr>
      </w:pPr>
      <w:r>
        <w:rPr>
          <w:rFonts w:hint="eastAsia"/>
          <w:highlight w:val="none"/>
        </w:rPr>
        <w:t>1.6.3卧螺三相离心机</w:t>
      </w:r>
    </w:p>
    <w:p w14:paraId="2F9A221E">
      <w:pPr>
        <w:spacing w:line="480" w:lineRule="exact"/>
        <w:ind w:firstLine="480"/>
        <w:rPr>
          <w:highlight w:val="none"/>
        </w:rPr>
      </w:pPr>
      <w:bookmarkStart w:id="52" w:name="_Toc29085"/>
      <w:bookmarkStart w:id="53" w:name="_Toc312864087"/>
      <w:r>
        <w:rPr>
          <w:rFonts w:hint="eastAsia"/>
          <w:highlight w:val="none"/>
        </w:rPr>
        <w:t>1.6.3.1功能要求</w:t>
      </w:r>
      <w:bookmarkEnd w:id="52"/>
    </w:p>
    <w:p w14:paraId="50DA7918">
      <w:pPr>
        <w:spacing w:line="480" w:lineRule="exact"/>
        <w:ind w:firstLine="480"/>
        <w:rPr>
          <w:highlight w:val="none"/>
        </w:rPr>
      </w:pPr>
      <w:r>
        <w:rPr>
          <w:rFonts w:hint="eastAsia"/>
          <w:highlight w:val="none"/>
        </w:rPr>
        <w:t>餐厨垃圾经高温蒸煮后的浆料进入三相离心机分离得到油相（粗油脂）、液相（浆液）、固相（细渣）三相产物。粗油脂经中转油箱泵入室外油罐，适时外售；液相进入废水箱暂存后泵送至厂内渗滤液处置车间。细渣可由螺旋输送至资源化处理。</w:t>
      </w:r>
    </w:p>
    <w:p w14:paraId="3EEA75B2">
      <w:pPr>
        <w:spacing w:line="480" w:lineRule="exact"/>
        <w:ind w:firstLine="480"/>
        <w:rPr>
          <w:highlight w:val="none"/>
        </w:rPr>
      </w:pPr>
      <w:r>
        <w:rPr>
          <w:rFonts w:hint="eastAsia"/>
          <w:highlight w:val="none"/>
        </w:rPr>
        <w:t>餐厨垃圾预处理生产线的三相离心机的处理能力8-10t/h。</w:t>
      </w:r>
    </w:p>
    <w:p w14:paraId="7D168464">
      <w:pPr>
        <w:spacing w:line="480" w:lineRule="exact"/>
        <w:ind w:firstLine="480"/>
        <w:rPr>
          <w:highlight w:val="none"/>
        </w:rPr>
      </w:pPr>
      <w:r>
        <w:rPr>
          <w:rFonts w:hint="eastAsia"/>
          <w:highlight w:val="none"/>
        </w:rPr>
        <w:t>设热水冲洗水装置对三相离心机进行清洗，并确保清洗水不会回流至油相。</w:t>
      </w:r>
    </w:p>
    <w:p w14:paraId="5B6205D4">
      <w:pPr>
        <w:spacing w:line="480" w:lineRule="exact"/>
        <w:ind w:firstLine="480"/>
        <w:rPr>
          <w:highlight w:val="none"/>
        </w:rPr>
      </w:pPr>
      <w:bookmarkStart w:id="54" w:name="_Toc28422"/>
      <w:r>
        <w:rPr>
          <w:rFonts w:hint="eastAsia"/>
          <w:highlight w:val="none"/>
        </w:rPr>
        <w:t>供货范围及主要设备</w:t>
      </w:r>
      <w:bookmarkEnd w:id="54"/>
      <w:r>
        <w:rPr>
          <w:rFonts w:hint="eastAsia"/>
          <w:highlight w:val="none"/>
        </w:rPr>
        <w:t>：主要包括卧螺三相离心机、搅拌泵送机组、净水缓冲机组、蒸汽加热搅拌罐、热浆泵、出渣螺旋、储油罐机组、管路系统、钢结构支撑、钢结构平台及钢梯等。</w:t>
      </w:r>
    </w:p>
    <w:bookmarkEnd w:id="53"/>
    <w:p w14:paraId="5821DE19">
      <w:pPr>
        <w:spacing w:line="480" w:lineRule="exact"/>
        <w:ind w:firstLine="480"/>
        <w:rPr>
          <w:highlight w:val="none"/>
        </w:rPr>
      </w:pPr>
      <w:r>
        <w:rPr>
          <w:rFonts w:hint="eastAsia"/>
          <w:highlight w:val="none"/>
        </w:rPr>
        <w:t>1.6.3.2</w:t>
      </w:r>
      <w:r>
        <w:rPr>
          <w:highlight w:val="none"/>
        </w:rPr>
        <w:t>设备要求</w:t>
      </w:r>
    </w:p>
    <w:p w14:paraId="42A3D830">
      <w:pPr>
        <w:spacing w:line="480" w:lineRule="exact"/>
        <w:ind w:firstLine="480"/>
        <w:rPr>
          <w:highlight w:val="none"/>
        </w:rPr>
      </w:pPr>
      <w:r>
        <w:rPr>
          <w:rFonts w:hint="eastAsia"/>
          <w:highlight w:val="none"/>
        </w:rPr>
        <w:t>双电双频驱动，泵机联锁控制，PLC智能控制；304不锈钢螺旋，镶嵌硬质合金螺旋；双相不锈钢转鼓；耐磨陶瓷出渣口，</w:t>
      </w:r>
      <w:r>
        <w:rPr>
          <w:highlight w:val="none"/>
        </w:rPr>
        <w:t>机架碳钢防腐</w:t>
      </w:r>
      <w:r>
        <w:rPr>
          <w:rFonts w:hint="eastAsia"/>
          <w:highlight w:val="none"/>
        </w:rPr>
        <w:t>。</w:t>
      </w:r>
    </w:p>
    <w:p w14:paraId="3FEB30D4">
      <w:pPr>
        <w:spacing w:line="480" w:lineRule="exact"/>
        <w:ind w:firstLine="480"/>
        <w:rPr>
          <w:highlight w:val="none"/>
        </w:rPr>
      </w:pPr>
      <w:r>
        <w:rPr>
          <w:rFonts w:hint="eastAsia"/>
          <w:highlight w:val="none"/>
        </w:rPr>
        <w:t>固液分离，最大限度的分出油水混合物。</w:t>
      </w:r>
    </w:p>
    <w:p w14:paraId="0BDE70E9">
      <w:pPr>
        <w:spacing w:line="480" w:lineRule="exact"/>
        <w:ind w:firstLine="480"/>
        <w:rPr>
          <w:highlight w:val="none"/>
        </w:rPr>
      </w:pPr>
      <w:r>
        <w:rPr>
          <w:rFonts w:hint="eastAsia"/>
          <w:highlight w:val="none"/>
        </w:rPr>
        <w:t>离心式分离，确保工艺指标的达成，粗油脂品质高。</w:t>
      </w:r>
    </w:p>
    <w:p w14:paraId="56D59AC7">
      <w:pPr>
        <w:spacing w:line="480" w:lineRule="exact"/>
        <w:ind w:firstLine="480"/>
        <w:rPr>
          <w:highlight w:val="none"/>
        </w:rPr>
      </w:pPr>
      <w:r>
        <w:rPr>
          <w:rFonts w:hint="eastAsia"/>
          <w:highlight w:val="none"/>
        </w:rPr>
        <w:t>设备与物料接触部分均采用304不锈钢材质。</w:t>
      </w:r>
    </w:p>
    <w:p w14:paraId="6A224908">
      <w:pPr>
        <w:spacing w:line="480" w:lineRule="exact"/>
        <w:ind w:firstLine="480"/>
        <w:rPr>
          <w:highlight w:val="none"/>
        </w:rPr>
      </w:pPr>
      <w:r>
        <w:rPr>
          <w:rFonts w:hint="eastAsia"/>
          <w:highlight w:val="none"/>
        </w:rPr>
        <w:t>油脂提取率≥95%，</w:t>
      </w:r>
      <w:r>
        <w:rPr>
          <w:highlight w:val="none"/>
        </w:rPr>
        <w:t>油相中含杂（水）率</w:t>
      </w:r>
      <w:bookmarkStart w:id="55" w:name="_Hlk103692576"/>
      <w:r>
        <w:rPr>
          <w:rFonts w:hint="eastAsia"/>
          <w:highlight w:val="none"/>
        </w:rPr>
        <w:t>≤3</w:t>
      </w:r>
      <w:bookmarkEnd w:id="55"/>
      <w:r>
        <w:rPr>
          <w:highlight w:val="none"/>
        </w:rPr>
        <w:t>%</w:t>
      </w:r>
      <w:r>
        <w:rPr>
          <w:rFonts w:hint="eastAsia"/>
          <w:highlight w:val="none"/>
        </w:rPr>
        <w:t>。毛油应设置储罐储存，定期提升外运。</w:t>
      </w:r>
    </w:p>
    <w:p w14:paraId="4CAD4F3F">
      <w:pPr>
        <w:pStyle w:val="103"/>
        <w:numPr>
          <w:ilvl w:val="2"/>
          <w:numId w:val="0"/>
        </w:numPr>
        <w:spacing w:line="480" w:lineRule="exact"/>
        <w:ind w:firstLine="482" w:firstLineChars="200"/>
        <w:rPr>
          <w:highlight w:val="none"/>
        </w:rPr>
      </w:pPr>
      <w:r>
        <w:rPr>
          <w:rFonts w:hint="eastAsia"/>
          <w:highlight w:val="none"/>
        </w:rPr>
        <w:t>1.7好氧发酵单元</w:t>
      </w:r>
    </w:p>
    <w:p w14:paraId="619C6025">
      <w:pPr>
        <w:spacing w:line="480" w:lineRule="exact"/>
        <w:ind w:firstLine="480"/>
        <w:rPr>
          <w:highlight w:val="none"/>
        </w:rPr>
      </w:pPr>
      <w:r>
        <w:rPr>
          <w:rFonts w:hint="eastAsia"/>
          <w:highlight w:val="none"/>
        </w:rPr>
        <w:t>1.7.1发酵装置配以导热油加热辅助加温和特质的保温材料与措施，使槽体内保持在50℃—60℃的温度，并搅拌使槽内始终保持着好氧菌所需要的新鲜空气。利用有机质垃圾中的高蛋白等细菌需要的富营养成份，从而使大分子物质（有机污染物的主要成分）分解成能被微生物利用的低分子物质。</w:t>
      </w:r>
    </w:p>
    <w:p w14:paraId="4E160969">
      <w:pPr>
        <w:spacing w:line="480" w:lineRule="exact"/>
        <w:ind w:firstLine="480"/>
        <w:rPr>
          <w:highlight w:val="none"/>
        </w:rPr>
      </w:pPr>
      <w:r>
        <w:rPr>
          <w:rFonts w:hint="eastAsia"/>
          <w:highlight w:val="none"/>
        </w:rPr>
        <w:t>1.7.2采用复合耐高温油盐性微生物复合菌剂，能在高温和盐油性的环境下保持活跃，快速降解餐厨垃圾。发酵仓第一次运行时添加菌种调试外，后期运行过程中，菌种自动繁殖，降低后期使用过程中的使用成本。</w:t>
      </w:r>
    </w:p>
    <w:p w14:paraId="32F04732">
      <w:pPr>
        <w:spacing w:line="480" w:lineRule="exact"/>
        <w:ind w:firstLine="480"/>
        <w:rPr>
          <w:highlight w:val="none"/>
        </w:rPr>
      </w:pPr>
      <w:r>
        <w:rPr>
          <w:rFonts w:hint="eastAsia"/>
          <w:highlight w:val="none"/>
        </w:rPr>
        <w:t>1.7.3经生物发酵降解后的餐厨垃圾物料，可生成有机肥前置物。该有机肥可直接出售给肥料厂，也可以自行经1：10的土壤混合好氧堆肥后，可以用于苗圃施肥，绿化施肥等。</w:t>
      </w:r>
    </w:p>
    <w:p w14:paraId="150E0953">
      <w:pPr>
        <w:spacing w:line="480" w:lineRule="exact"/>
        <w:ind w:firstLine="480"/>
        <w:rPr>
          <w:highlight w:val="none"/>
        </w:rPr>
      </w:pPr>
      <w:r>
        <w:rPr>
          <w:rFonts w:hint="eastAsia"/>
          <w:highlight w:val="none"/>
        </w:rPr>
        <w:t>1.7.4反应仓处理速度快，降解率高，24小时内实现减量80%；</w:t>
      </w:r>
    </w:p>
    <w:p w14:paraId="40235577">
      <w:pPr>
        <w:spacing w:line="480" w:lineRule="exact"/>
        <w:ind w:firstLine="480"/>
        <w:rPr>
          <w:highlight w:val="none"/>
        </w:rPr>
      </w:pPr>
      <w:r>
        <w:rPr>
          <w:rFonts w:hint="eastAsia"/>
          <w:highlight w:val="none"/>
        </w:rPr>
        <w:t>1.7.5操作简单，一键式操作，无需人工值守，自动化智能控制降解过程；</w:t>
      </w:r>
    </w:p>
    <w:p w14:paraId="2C8B6631">
      <w:pPr>
        <w:spacing w:line="480" w:lineRule="exact"/>
        <w:ind w:firstLine="480"/>
        <w:rPr>
          <w:highlight w:val="none"/>
        </w:rPr>
      </w:pPr>
      <w:r>
        <w:rPr>
          <w:rFonts w:hint="eastAsia"/>
          <w:highlight w:val="none"/>
        </w:rPr>
        <w:t>1.7.6自动恒温加热技术，快速加热并将温度稳定在微生物菌种最活跃的范围（50-60℃），良好的保温性能，减少热量损耗，节能效果好；</w:t>
      </w:r>
    </w:p>
    <w:p w14:paraId="27240566">
      <w:pPr>
        <w:spacing w:line="480" w:lineRule="exact"/>
        <w:ind w:firstLine="480"/>
        <w:rPr>
          <w:highlight w:val="none"/>
        </w:rPr>
      </w:pPr>
      <w:r>
        <w:rPr>
          <w:rFonts w:hint="eastAsia"/>
          <w:highlight w:val="none"/>
        </w:rPr>
        <w:t>1.7.7降解过程中，发酵仓内温度维持在55℃，可有效灭杀餐厨垃圾物料忠的各种病菌和寄生虫；</w:t>
      </w:r>
    </w:p>
    <w:p w14:paraId="75CB2886">
      <w:pPr>
        <w:spacing w:line="480" w:lineRule="exact"/>
        <w:ind w:firstLine="480"/>
        <w:rPr>
          <w:highlight w:val="none"/>
        </w:rPr>
      </w:pPr>
      <w:r>
        <w:rPr>
          <w:rFonts w:hint="eastAsia"/>
          <w:highlight w:val="none"/>
        </w:rPr>
        <w:t>1.7.8自动间歇式搅拌控制，自动实现正反转搅拌，物料充分混合，同步增氧，保证降解过程中所需养分，比常规的搅拌系统，节省50%能耗；</w:t>
      </w:r>
    </w:p>
    <w:p w14:paraId="0AFE445C">
      <w:pPr>
        <w:spacing w:line="480" w:lineRule="exact"/>
        <w:ind w:firstLine="480"/>
        <w:rPr>
          <w:highlight w:val="none"/>
        </w:rPr>
      </w:pPr>
      <w:r>
        <w:rPr>
          <w:rFonts w:hint="eastAsia"/>
          <w:highlight w:val="none"/>
        </w:rPr>
        <w:t>1.7.9自动控制系统，采用PLC控制模块，各个处理环节自动运行，可自动监控运行状态，并对异常状态实时反映，保障设备和人身安全。同时记录数据并实时上传到物联网，使用单位，监管单位，系统供应单位实时监控系统运行状态。</w:t>
      </w:r>
    </w:p>
    <w:p w14:paraId="55DFC0A9">
      <w:pPr>
        <w:spacing w:line="480" w:lineRule="exact"/>
        <w:ind w:firstLine="480"/>
        <w:rPr>
          <w:highlight w:val="none"/>
        </w:rPr>
      </w:pPr>
      <w:r>
        <w:rPr>
          <w:rFonts w:hint="eastAsia"/>
          <w:highlight w:val="none"/>
        </w:rPr>
        <w:t>1.7.10工业触摸屏可显示即时运行状态；可实现漏电、缺相、过载、过热等安全保护功能，可实现手机端和PC端远程监控。高温生化处理周期为2～7天，可根据不同的垃圾成分和运行状态进行智能化设置。</w:t>
      </w:r>
    </w:p>
    <w:p w14:paraId="0AB83598">
      <w:pPr>
        <w:spacing w:line="480" w:lineRule="exact"/>
        <w:ind w:firstLine="480"/>
        <w:rPr>
          <w:highlight w:val="none"/>
        </w:rPr>
      </w:pPr>
      <w:r>
        <w:rPr>
          <w:rFonts w:hint="eastAsia"/>
          <w:highlight w:val="none"/>
        </w:rPr>
        <w:t>1.7.11</w:t>
      </w:r>
      <w:r>
        <w:rPr>
          <w:highlight w:val="none"/>
        </w:rPr>
        <w:t>高温好氧发酵仓：容积≥20m³ ;导热油循环加热</w:t>
      </w:r>
      <w:r>
        <w:rPr>
          <w:rFonts w:hint="eastAsia"/>
          <w:highlight w:val="none"/>
        </w:rPr>
        <w:t>或蒸汽加热</w:t>
      </w:r>
      <w:r>
        <w:rPr>
          <w:highlight w:val="none"/>
        </w:rPr>
        <w:t xml:space="preserve">装置；热风智能烘干装置；犁刀式搅拌结构；搅拌电机采用行星减速电机；采用管道加热器+高温油泵的智能循环加热模块； </w:t>
      </w:r>
    </w:p>
    <w:p w14:paraId="0813E0FC">
      <w:pPr>
        <w:spacing w:line="480" w:lineRule="exact"/>
        <w:ind w:firstLine="480"/>
        <w:rPr>
          <w:highlight w:val="none"/>
        </w:rPr>
      </w:pPr>
      <w:bookmarkStart w:id="56" w:name="OLE_LINK32"/>
      <w:bookmarkStart w:id="57" w:name="OLE_LINK33"/>
      <w:r>
        <w:rPr>
          <w:rFonts w:hint="eastAsia"/>
          <w:highlight w:val="none"/>
        </w:rPr>
        <w:t>1.7.12</w:t>
      </w:r>
      <w:r>
        <w:rPr>
          <w:highlight w:val="none"/>
        </w:rPr>
        <w:t>发酵仓</w:t>
      </w:r>
      <w:bookmarkEnd w:id="56"/>
      <w:bookmarkEnd w:id="57"/>
      <w:r>
        <w:rPr>
          <w:highlight w:val="none"/>
        </w:rPr>
        <w:t>内胆采用304不锈钢板厚6mm。外钣金采用304拉丝不锈钢，板厚1.5mm；轴承座为SD540剖分式重载轴承座；采用防火式进气阀和全自动热风机，可实现仓内高效换热和除湿；仓出料口采用双吊环锁紧双层门结构。</w:t>
      </w:r>
    </w:p>
    <w:p w14:paraId="5EC1FFDB">
      <w:pPr>
        <w:spacing w:line="480" w:lineRule="exact"/>
        <w:ind w:firstLine="480"/>
        <w:rPr>
          <w:highlight w:val="none"/>
        </w:rPr>
      </w:pPr>
      <w:r>
        <w:rPr>
          <w:rFonts w:hint="eastAsia"/>
          <w:highlight w:val="none"/>
        </w:rPr>
        <w:t>1.7.13</w:t>
      </w:r>
      <w:r>
        <w:rPr>
          <w:highlight w:val="none"/>
        </w:rPr>
        <w:t>发酵仓也可采用混凝土</w:t>
      </w:r>
      <w:r>
        <w:rPr>
          <w:rFonts w:hint="eastAsia"/>
          <w:highlight w:val="none"/>
        </w:rPr>
        <w:t>形式</w:t>
      </w:r>
      <w:r>
        <w:rPr>
          <w:highlight w:val="none"/>
        </w:rPr>
        <w:t>。</w:t>
      </w:r>
    </w:p>
    <w:p w14:paraId="1E44BAFB">
      <w:pPr>
        <w:spacing w:line="480" w:lineRule="exact"/>
        <w:ind w:firstLine="480"/>
        <w:rPr>
          <w:highlight w:val="none"/>
        </w:rPr>
      </w:pPr>
      <w:r>
        <w:rPr>
          <w:rFonts w:hint="eastAsia"/>
          <w:highlight w:val="none"/>
        </w:rPr>
        <w:t>1.7.13.1提供在冬季最冷月环境温度下（以3℃计算），维持仓内温度的日均/月均能耗估算。</w:t>
      </w:r>
    </w:p>
    <w:p w14:paraId="0D87608C">
      <w:pPr>
        <w:spacing w:line="480" w:lineRule="exact"/>
        <w:ind w:firstLine="480"/>
        <w:rPr>
          <w:highlight w:val="none"/>
        </w:rPr>
      </w:pPr>
      <w:r>
        <w:rPr>
          <w:rFonts w:hint="eastAsia"/>
          <w:highlight w:val="none"/>
        </w:rPr>
        <w:t>1.7.13.2优先考虑采用高效保温设计和利用预处理阶段废热方案。</w:t>
      </w:r>
    </w:p>
    <w:p w14:paraId="75001830">
      <w:pPr>
        <w:pStyle w:val="103"/>
        <w:numPr>
          <w:ilvl w:val="2"/>
          <w:numId w:val="0"/>
        </w:numPr>
        <w:spacing w:line="480" w:lineRule="exact"/>
        <w:ind w:firstLine="482" w:firstLineChars="200"/>
        <w:rPr>
          <w:color w:val="0000FF"/>
          <w:highlight w:val="none"/>
        </w:rPr>
      </w:pPr>
      <w:r>
        <w:rPr>
          <w:rFonts w:hint="eastAsia"/>
          <w:color w:val="0000FF"/>
          <w:highlight w:val="none"/>
        </w:rPr>
        <w:t>1.8渗滤液输送单位</w:t>
      </w:r>
    </w:p>
    <w:p w14:paraId="4BD42542">
      <w:pPr>
        <w:spacing w:line="480" w:lineRule="exact"/>
        <w:ind w:firstLine="480"/>
        <w:rPr>
          <w:highlight w:val="none"/>
        </w:rPr>
      </w:pPr>
      <w:r>
        <w:rPr>
          <w:rFonts w:hint="eastAsia"/>
          <w:highlight w:val="none"/>
        </w:rPr>
        <w:t>1.8.1潜污泵</w:t>
      </w:r>
    </w:p>
    <w:p w14:paraId="7E868076">
      <w:pPr>
        <w:spacing w:line="480" w:lineRule="exact"/>
        <w:ind w:firstLine="480"/>
        <w:rPr>
          <w:highlight w:val="none"/>
        </w:rPr>
      </w:pPr>
      <w:r>
        <w:rPr>
          <w:rFonts w:hint="eastAsia"/>
          <w:highlight w:val="none"/>
        </w:rPr>
        <w:t>1.8.1.1用于将</w:t>
      </w:r>
      <w:bookmarkStart w:id="58" w:name="OLE_LINK28"/>
      <w:bookmarkStart w:id="59" w:name="OLE_LINK29"/>
      <w:r>
        <w:rPr>
          <w:rFonts w:hint="eastAsia"/>
          <w:highlight w:val="none"/>
        </w:rPr>
        <w:t>餐厨车间</w:t>
      </w:r>
      <w:bookmarkEnd w:id="58"/>
      <w:bookmarkEnd w:id="59"/>
      <w:r>
        <w:rPr>
          <w:rFonts w:hint="eastAsia"/>
          <w:highlight w:val="none"/>
        </w:rPr>
        <w:t>污水池的污水，泵送至渗滤液处置车间的格栅池，配置潜污泵2台（一用一备）。</w:t>
      </w:r>
    </w:p>
    <w:p w14:paraId="6FD2CB2C">
      <w:pPr>
        <w:spacing w:line="480" w:lineRule="exact"/>
        <w:ind w:firstLine="480"/>
        <w:rPr>
          <w:highlight w:val="none"/>
        </w:rPr>
      </w:pPr>
      <w:r>
        <w:rPr>
          <w:rFonts w:hint="eastAsia"/>
          <w:highlight w:val="none"/>
        </w:rPr>
        <w:t>1.8.1.2潜污泵参数：</w:t>
      </w:r>
      <w:r>
        <w:rPr>
          <w:highlight w:val="none"/>
        </w:rPr>
        <w:t>10m³/h H=</w:t>
      </w:r>
      <w:r>
        <w:rPr>
          <w:rFonts w:hint="eastAsia"/>
          <w:highlight w:val="none"/>
        </w:rPr>
        <w:t>25</w:t>
      </w:r>
      <w:r>
        <w:rPr>
          <w:highlight w:val="none"/>
        </w:rPr>
        <w:t>m P=</w:t>
      </w:r>
      <w:r>
        <w:rPr>
          <w:rFonts w:hint="eastAsia"/>
          <w:highlight w:val="none"/>
        </w:rPr>
        <w:t>4</w:t>
      </w:r>
      <w:r>
        <w:rPr>
          <w:highlight w:val="none"/>
        </w:rPr>
        <w:t>KW</w:t>
      </w:r>
      <w:r>
        <w:rPr>
          <w:rFonts w:hint="eastAsia"/>
          <w:highlight w:val="none"/>
        </w:rPr>
        <w:t>；防爆；泵体材质：铸铁；温度范围：-15℃～+60℃。</w:t>
      </w:r>
    </w:p>
    <w:p w14:paraId="3A7A43BA">
      <w:pPr>
        <w:spacing w:line="480" w:lineRule="exact"/>
        <w:ind w:firstLine="480"/>
        <w:rPr>
          <w:highlight w:val="none"/>
        </w:rPr>
      </w:pPr>
      <w:r>
        <w:rPr>
          <w:rFonts w:hint="eastAsia"/>
          <w:highlight w:val="none"/>
        </w:rPr>
        <w:t>1.8.2排污管</w:t>
      </w:r>
    </w:p>
    <w:p w14:paraId="2AD70447">
      <w:pPr>
        <w:spacing w:line="480" w:lineRule="exact"/>
        <w:ind w:firstLine="480"/>
        <w:rPr>
          <w:highlight w:val="none"/>
        </w:rPr>
      </w:pPr>
      <w:r>
        <w:rPr>
          <w:rFonts w:hint="eastAsia"/>
          <w:highlight w:val="none"/>
        </w:rPr>
        <w:t>1.8.2.1用于将餐厨车间污水池的污水，泵送至渗滤液处置车间的格栅池，需要管道长度约130m。</w:t>
      </w:r>
    </w:p>
    <w:p w14:paraId="7936384C">
      <w:pPr>
        <w:spacing w:line="480" w:lineRule="exact"/>
        <w:ind w:firstLine="480"/>
        <w:rPr>
          <w:highlight w:val="none"/>
        </w:rPr>
      </w:pPr>
      <w:r>
        <w:rPr>
          <w:rFonts w:hint="eastAsia"/>
          <w:highlight w:val="none"/>
        </w:rPr>
        <w:t>1.8.2.2排污管参数：DN65 材质HDPE</w:t>
      </w:r>
    </w:p>
    <w:p w14:paraId="0438299E">
      <w:pPr>
        <w:spacing w:line="480" w:lineRule="exact"/>
        <w:ind w:firstLine="480"/>
        <w:rPr>
          <w:highlight w:val="none"/>
        </w:rPr>
      </w:pPr>
      <w:r>
        <w:rPr>
          <w:rFonts w:hint="eastAsia"/>
          <w:highlight w:val="none"/>
        </w:rPr>
        <w:t>1.8.2.3排污管走向：室内架空敷设，室外穿道路以管沟形式敷设。管道供货及明管敷设安装由投标方负责，其余管沟由土建单位施工。</w:t>
      </w:r>
    </w:p>
    <w:p w14:paraId="4DB5D17A">
      <w:pPr>
        <w:pStyle w:val="103"/>
        <w:numPr>
          <w:ilvl w:val="2"/>
          <w:numId w:val="0"/>
        </w:numPr>
        <w:spacing w:line="480" w:lineRule="exact"/>
        <w:ind w:firstLine="482" w:firstLineChars="200"/>
        <w:rPr>
          <w:highlight w:val="none"/>
        </w:rPr>
      </w:pPr>
      <w:r>
        <w:rPr>
          <w:rFonts w:hint="eastAsia"/>
          <w:highlight w:val="none"/>
        </w:rPr>
        <w:t>1.9自动控制系统</w:t>
      </w:r>
    </w:p>
    <w:p w14:paraId="6962AA00">
      <w:pPr>
        <w:spacing w:line="480" w:lineRule="exact"/>
        <w:ind w:firstLine="480"/>
        <w:rPr>
          <w:highlight w:val="none"/>
        </w:rPr>
      </w:pPr>
      <w:r>
        <w:rPr>
          <w:rFonts w:hint="eastAsia"/>
          <w:highlight w:val="none"/>
        </w:rPr>
        <w:t>1.9.1</w:t>
      </w:r>
      <w:r>
        <w:rPr>
          <w:highlight w:val="none"/>
        </w:rPr>
        <w:t>电柜及自控系统</w:t>
      </w:r>
    </w:p>
    <w:p w14:paraId="3880F10D">
      <w:pPr>
        <w:spacing w:line="480" w:lineRule="exact"/>
        <w:ind w:firstLine="480"/>
        <w:rPr>
          <w:highlight w:val="none"/>
        </w:rPr>
      </w:pPr>
      <w:bookmarkStart w:id="60" w:name="OLE_LINK41"/>
      <w:r>
        <w:rPr>
          <w:rFonts w:hint="eastAsia"/>
          <w:highlight w:val="none"/>
        </w:rPr>
        <w:t>1.9.1.1</w:t>
      </w:r>
      <w:r>
        <w:rPr>
          <w:highlight w:val="none"/>
        </w:rPr>
        <w:t>含PLC控制系统，数据采集系统；远程监控模块，15寸工业触摸屏</w:t>
      </w:r>
      <w:r>
        <w:rPr>
          <w:rFonts w:hint="eastAsia"/>
          <w:highlight w:val="none"/>
        </w:rPr>
        <w:t>。</w:t>
      </w:r>
    </w:p>
    <w:p w14:paraId="0E00152C">
      <w:pPr>
        <w:spacing w:line="480" w:lineRule="exact"/>
        <w:ind w:firstLine="480"/>
        <w:rPr>
          <w:highlight w:val="none"/>
        </w:rPr>
      </w:pPr>
      <w:r>
        <w:rPr>
          <w:rFonts w:hint="eastAsia"/>
          <w:highlight w:val="none"/>
        </w:rPr>
        <w:t>1.9.1.2含设备运行中央控制所需的设施，包括但不限于自动控制系统、编程软件和组态软件、下位机、上位机（工控机、显示器）等。</w:t>
      </w:r>
    </w:p>
    <w:bookmarkEnd w:id="60"/>
    <w:p w14:paraId="6776478B">
      <w:pPr>
        <w:spacing w:line="480" w:lineRule="exact"/>
        <w:ind w:firstLine="480"/>
        <w:rPr>
          <w:highlight w:val="none"/>
        </w:rPr>
      </w:pPr>
      <w:r>
        <w:rPr>
          <w:rFonts w:hint="eastAsia"/>
          <w:highlight w:val="none"/>
        </w:rPr>
        <w:t>1.9.2</w:t>
      </w:r>
      <w:r>
        <w:rPr>
          <w:highlight w:val="none"/>
        </w:rPr>
        <w:t>电缆及桥架</w:t>
      </w:r>
      <w:r>
        <w:rPr>
          <w:rFonts w:hint="eastAsia"/>
          <w:highlight w:val="none"/>
        </w:rPr>
        <w:t>：</w:t>
      </w:r>
      <w:r>
        <w:rPr>
          <w:highlight w:val="none"/>
        </w:rPr>
        <w:t>含系统内各设备、控制柜及电机等之间的动力和控制线，以及桥架等附件。</w:t>
      </w:r>
    </w:p>
    <w:p w14:paraId="61DD4A0C">
      <w:pPr>
        <w:pStyle w:val="103"/>
        <w:numPr>
          <w:ilvl w:val="2"/>
          <w:numId w:val="0"/>
        </w:numPr>
        <w:spacing w:line="480" w:lineRule="exact"/>
        <w:ind w:left="240"/>
        <w:rPr>
          <w:highlight w:val="none"/>
        </w:rPr>
      </w:pPr>
      <w:r>
        <w:rPr>
          <w:rFonts w:hint="eastAsia"/>
          <w:highlight w:val="none"/>
        </w:rPr>
        <w:t xml:space="preserve">  1.10工艺管道</w:t>
      </w:r>
    </w:p>
    <w:p w14:paraId="0B7702EE">
      <w:pPr>
        <w:spacing w:line="480" w:lineRule="exact"/>
        <w:ind w:firstLine="480"/>
        <w:rPr>
          <w:highlight w:val="none"/>
        </w:rPr>
      </w:pPr>
      <w:r>
        <w:rPr>
          <w:rFonts w:hint="eastAsia"/>
          <w:highlight w:val="none"/>
        </w:rPr>
        <w:t>1.10.1</w:t>
      </w:r>
      <w:r>
        <w:rPr>
          <w:highlight w:val="none"/>
        </w:rPr>
        <w:t>投标人按照国家的相关标准对餐厨管道、热力管线进行设计，在设计报告中，应对各种管线和管沟进行说明。</w:t>
      </w:r>
    </w:p>
    <w:p w14:paraId="4BFFA47A">
      <w:pPr>
        <w:spacing w:line="480" w:lineRule="exact"/>
        <w:ind w:firstLine="480"/>
        <w:rPr>
          <w:highlight w:val="none"/>
        </w:rPr>
      </w:pPr>
      <w:r>
        <w:rPr>
          <w:rFonts w:hint="eastAsia"/>
          <w:highlight w:val="none"/>
        </w:rPr>
        <w:t>1.10.2</w:t>
      </w:r>
      <w:r>
        <w:rPr>
          <w:highlight w:val="none"/>
        </w:rPr>
        <w:t>管道的布置和设计必须便于安装、拆卸、维修且不妨碍通行。</w:t>
      </w:r>
    </w:p>
    <w:p w14:paraId="53657DED">
      <w:pPr>
        <w:spacing w:line="480" w:lineRule="exact"/>
        <w:ind w:firstLine="480"/>
        <w:rPr>
          <w:highlight w:val="none"/>
        </w:rPr>
      </w:pPr>
      <w:r>
        <w:rPr>
          <w:rFonts w:hint="eastAsia"/>
          <w:highlight w:val="none"/>
        </w:rPr>
        <w:t>1.10.3</w:t>
      </w:r>
      <w:r>
        <w:rPr>
          <w:highlight w:val="none"/>
        </w:rPr>
        <w:t>所有管道均设有支承和锚固装置。钢支承件使用前工厂化加工配制，配制完成后热浸锌。</w:t>
      </w:r>
    </w:p>
    <w:p w14:paraId="2B1AABDB">
      <w:pPr>
        <w:spacing w:line="480" w:lineRule="exact"/>
        <w:ind w:firstLine="480"/>
        <w:rPr>
          <w:highlight w:val="none"/>
        </w:rPr>
      </w:pPr>
      <w:r>
        <w:rPr>
          <w:rFonts w:hint="eastAsia"/>
          <w:highlight w:val="none"/>
        </w:rPr>
        <w:t>1.10.4</w:t>
      </w:r>
      <w:r>
        <w:rPr>
          <w:highlight w:val="none"/>
        </w:rPr>
        <w:t>本工程所有管道在保证使用年限的基础上，按相应国家标准、规范要求的管材进行选择。对于规范规定之外的管道材料参照国内同类工程同类标准选择管材、管件品牌需经招标方认可方能使用。</w:t>
      </w:r>
    </w:p>
    <w:p w14:paraId="7A1FC400">
      <w:pPr>
        <w:spacing w:line="480" w:lineRule="exact"/>
        <w:ind w:firstLine="480"/>
        <w:rPr>
          <w:highlight w:val="none"/>
        </w:rPr>
      </w:pPr>
      <w:r>
        <w:rPr>
          <w:rFonts w:hint="eastAsia"/>
          <w:highlight w:val="none"/>
        </w:rPr>
        <w:t>1.10.5</w:t>
      </w:r>
      <w:r>
        <w:rPr>
          <w:highlight w:val="none"/>
        </w:rPr>
        <w:t>管道应配有各种规格的螺母、螺栓、垫圈、连接环、特殊型式的节头、托架、四氟乙烯密封垫片、吊钩、锚固件、支撑件等附件。</w:t>
      </w:r>
    </w:p>
    <w:p w14:paraId="4E247F47">
      <w:pPr>
        <w:spacing w:line="480" w:lineRule="exact"/>
        <w:ind w:firstLine="480"/>
        <w:rPr>
          <w:highlight w:val="none"/>
        </w:rPr>
      </w:pPr>
      <w:r>
        <w:rPr>
          <w:rFonts w:hint="eastAsia"/>
          <w:highlight w:val="none"/>
        </w:rPr>
        <w:t>1.10.6</w:t>
      </w:r>
      <w:r>
        <w:rPr>
          <w:highlight w:val="none"/>
        </w:rPr>
        <w:t>管道及其支架的设置不妨碍设备或其它部件。</w:t>
      </w:r>
    </w:p>
    <w:p w14:paraId="61499917">
      <w:pPr>
        <w:spacing w:line="480" w:lineRule="exact"/>
        <w:ind w:firstLine="480"/>
        <w:rPr>
          <w:highlight w:val="none"/>
        </w:rPr>
      </w:pPr>
      <w:r>
        <w:rPr>
          <w:rFonts w:hint="eastAsia"/>
          <w:highlight w:val="none"/>
        </w:rPr>
        <w:t>1.10.7</w:t>
      </w:r>
      <w:r>
        <w:rPr>
          <w:highlight w:val="none"/>
        </w:rPr>
        <w:t>高架的管道至少应（在人行过道上面）有2.3m的净空。</w:t>
      </w:r>
    </w:p>
    <w:p w14:paraId="14E3F9C3">
      <w:pPr>
        <w:spacing w:line="480" w:lineRule="exact"/>
        <w:ind w:firstLine="480"/>
        <w:rPr>
          <w:highlight w:val="none"/>
        </w:rPr>
      </w:pPr>
      <w:r>
        <w:rPr>
          <w:rFonts w:hint="eastAsia"/>
          <w:highlight w:val="none"/>
        </w:rPr>
        <w:t>1.10.8</w:t>
      </w:r>
      <w:r>
        <w:rPr>
          <w:highlight w:val="none"/>
        </w:rPr>
        <w:t>管道的吊架和支架，应包括锚固件、导向装置、振动阻尼装置、支座、托架、管夹以及正确支撑管道所需的其它设施，要求吊架和支架对管道、相连接的设备及支撑结构不会产生过度的应力（应该考虑管道的热胀冷缩）。</w:t>
      </w:r>
    </w:p>
    <w:p w14:paraId="753AA313">
      <w:pPr>
        <w:spacing w:line="480" w:lineRule="exact"/>
        <w:ind w:firstLine="480"/>
        <w:rPr>
          <w:color w:val="0000FF"/>
          <w:highlight w:val="none"/>
        </w:rPr>
      </w:pPr>
      <w:r>
        <w:rPr>
          <w:rFonts w:hint="eastAsia"/>
          <w:color w:val="0000FF"/>
          <w:highlight w:val="none"/>
        </w:rPr>
        <w:t>1.10.9</w:t>
      </w:r>
      <w:r>
        <w:rPr>
          <w:color w:val="0000FF"/>
          <w:highlight w:val="none"/>
        </w:rPr>
        <w:t>吊架和支架的布置对餐厨处置系统的运行、维护区、照明灯具、各类管道、钢梯、人行过道、平台没有妨碍或干扰。</w:t>
      </w:r>
    </w:p>
    <w:p w14:paraId="62CCEF13">
      <w:pPr>
        <w:spacing w:line="480" w:lineRule="exact"/>
        <w:ind w:firstLine="480"/>
        <w:rPr>
          <w:highlight w:val="none"/>
        </w:rPr>
      </w:pPr>
      <w:r>
        <w:rPr>
          <w:rFonts w:hint="eastAsia"/>
          <w:highlight w:val="none"/>
        </w:rPr>
        <w:t>1.10.10</w:t>
      </w:r>
      <w:r>
        <w:rPr>
          <w:highlight w:val="none"/>
        </w:rPr>
        <w:t>管道附件及夹具的尺寸应有足够的余量，以便在管道隔热保护以后，吊架和支架能正常使用，相对于管道和隔热层可保持其刚性。</w:t>
      </w:r>
    </w:p>
    <w:p w14:paraId="3D3B8A2A">
      <w:pPr>
        <w:spacing w:line="480" w:lineRule="exact"/>
        <w:ind w:firstLine="480"/>
        <w:rPr>
          <w:spacing w:val="6"/>
          <w:highlight w:val="none"/>
        </w:rPr>
      </w:pPr>
      <w:r>
        <w:rPr>
          <w:rFonts w:hint="eastAsia"/>
          <w:highlight w:val="none"/>
        </w:rPr>
        <w:t>1.10.11</w:t>
      </w:r>
      <w:r>
        <w:rPr>
          <w:highlight w:val="none"/>
        </w:rPr>
        <w:t>最大流速限值如下：（除另行规定外，下列各种介质的最大流速是指在最大通流量时不得超过的流速）</w:t>
      </w:r>
    </w:p>
    <w:tbl>
      <w:tblPr>
        <w:tblStyle w:val="43"/>
        <w:tblW w:w="82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1"/>
        <w:gridCol w:w="2664"/>
        <w:gridCol w:w="3453"/>
        <w:gridCol w:w="1238"/>
      </w:tblGrid>
      <w:tr w14:paraId="4F31B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1" w:type="dxa"/>
          </w:tcPr>
          <w:p w14:paraId="0053E454">
            <w:pPr>
              <w:pStyle w:val="121"/>
              <w:spacing w:line="480" w:lineRule="exact"/>
              <w:rPr>
                <w:highlight w:val="none"/>
              </w:rPr>
            </w:pPr>
            <w:r>
              <w:rPr>
                <w:rFonts w:hint="eastAsia"/>
                <w:highlight w:val="none"/>
              </w:rPr>
              <w:t>序号</w:t>
            </w:r>
          </w:p>
        </w:tc>
        <w:tc>
          <w:tcPr>
            <w:tcW w:w="2664" w:type="dxa"/>
          </w:tcPr>
          <w:p w14:paraId="57637A5E">
            <w:pPr>
              <w:pStyle w:val="121"/>
              <w:spacing w:line="480" w:lineRule="exact"/>
              <w:rPr>
                <w:highlight w:val="none"/>
              </w:rPr>
            </w:pPr>
            <w:r>
              <w:rPr>
                <w:rFonts w:hint="eastAsia"/>
                <w:highlight w:val="none"/>
              </w:rPr>
              <w:t>管道形式</w:t>
            </w:r>
          </w:p>
        </w:tc>
        <w:tc>
          <w:tcPr>
            <w:tcW w:w="3453" w:type="dxa"/>
          </w:tcPr>
          <w:p w14:paraId="59EADF8B">
            <w:pPr>
              <w:pStyle w:val="121"/>
              <w:spacing w:line="480" w:lineRule="exact"/>
              <w:rPr>
                <w:highlight w:val="none"/>
              </w:rPr>
            </w:pPr>
            <w:r>
              <w:rPr>
                <w:rFonts w:hint="eastAsia"/>
                <w:highlight w:val="none"/>
              </w:rPr>
              <w:t>最大流速</w:t>
            </w:r>
          </w:p>
        </w:tc>
        <w:tc>
          <w:tcPr>
            <w:tcW w:w="1238" w:type="dxa"/>
          </w:tcPr>
          <w:p w14:paraId="74FB565A">
            <w:pPr>
              <w:pStyle w:val="121"/>
              <w:spacing w:line="480" w:lineRule="exact"/>
              <w:rPr>
                <w:highlight w:val="none"/>
              </w:rPr>
            </w:pPr>
            <w:r>
              <w:rPr>
                <w:rFonts w:hint="eastAsia"/>
                <w:highlight w:val="none"/>
              </w:rPr>
              <w:t>备注</w:t>
            </w:r>
          </w:p>
        </w:tc>
      </w:tr>
      <w:tr w14:paraId="5CF61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1" w:type="dxa"/>
          </w:tcPr>
          <w:p w14:paraId="0533558A">
            <w:pPr>
              <w:pStyle w:val="121"/>
              <w:spacing w:line="480" w:lineRule="exact"/>
              <w:rPr>
                <w:highlight w:val="none"/>
              </w:rPr>
            </w:pPr>
            <w:r>
              <w:rPr>
                <w:rFonts w:hint="eastAsia"/>
                <w:highlight w:val="none"/>
              </w:rPr>
              <w:t>1</w:t>
            </w:r>
          </w:p>
        </w:tc>
        <w:tc>
          <w:tcPr>
            <w:tcW w:w="2664" w:type="dxa"/>
          </w:tcPr>
          <w:p w14:paraId="7E793C34">
            <w:pPr>
              <w:pStyle w:val="121"/>
              <w:spacing w:line="480" w:lineRule="exact"/>
              <w:rPr>
                <w:highlight w:val="none"/>
              </w:rPr>
            </w:pPr>
            <w:r>
              <w:rPr>
                <w:highlight w:val="none"/>
              </w:rPr>
              <w:t>给水吸入管道</w:t>
            </w:r>
          </w:p>
        </w:tc>
        <w:tc>
          <w:tcPr>
            <w:tcW w:w="3453" w:type="dxa"/>
          </w:tcPr>
          <w:p w14:paraId="2165CB33">
            <w:pPr>
              <w:pStyle w:val="121"/>
              <w:spacing w:line="480" w:lineRule="exact"/>
              <w:rPr>
                <w:highlight w:val="none"/>
              </w:rPr>
            </w:pPr>
            <w:r>
              <w:rPr>
                <w:rFonts w:hint="eastAsia"/>
                <w:highlight w:val="none"/>
              </w:rPr>
              <w:t>≤</w:t>
            </w:r>
            <w:r>
              <w:rPr>
                <w:highlight w:val="none"/>
              </w:rPr>
              <w:t>1.5m/s</w:t>
            </w:r>
          </w:p>
        </w:tc>
        <w:tc>
          <w:tcPr>
            <w:tcW w:w="1238" w:type="dxa"/>
          </w:tcPr>
          <w:p w14:paraId="37AD132B">
            <w:pPr>
              <w:pStyle w:val="121"/>
              <w:spacing w:line="480" w:lineRule="exact"/>
              <w:rPr>
                <w:highlight w:val="none"/>
              </w:rPr>
            </w:pPr>
          </w:p>
        </w:tc>
      </w:tr>
      <w:tr w14:paraId="2F9D3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1" w:type="dxa"/>
          </w:tcPr>
          <w:p w14:paraId="4237FC65">
            <w:pPr>
              <w:pStyle w:val="121"/>
              <w:spacing w:line="480" w:lineRule="exact"/>
              <w:rPr>
                <w:highlight w:val="none"/>
              </w:rPr>
            </w:pPr>
            <w:r>
              <w:rPr>
                <w:rFonts w:hint="eastAsia"/>
                <w:highlight w:val="none"/>
              </w:rPr>
              <w:t>2</w:t>
            </w:r>
          </w:p>
        </w:tc>
        <w:tc>
          <w:tcPr>
            <w:tcW w:w="2664" w:type="dxa"/>
          </w:tcPr>
          <w:p w14:paraId="580C7F49">
            <w:pPr>
              <w:pStyle w:val="121"/>
              <w:spacing w:line="480" w:lineRule="exact"/>
              <w:rPr>
                <w:highlight w:val="none"/>
              </w:rPr>
            </w:pPr>
            <w:r>
              <w:rPr>
                <w:highlight w:val="none"/>
              </w:rPr>
              <w:t>给水排出管道</w:t>
            </w:r>
          </w:p>
        </w:tc>
        <w:tc>
          <w:tcPr>
            <w:tcW w:w="3453" w:type="dxa"/>
          </w:tcPr>
          <w:p w14:paraId="5E17D236">
            <w:pPr>
              <w:pStyle w:val="121"/>
              <w:spacing w:line="480" w:lineRule="exact"/>
              <w:rPr>
                <w:highlight w:val="none"/>
              </w:rPr>
            </w:pPr>
            <w:r>
              <w:rPr>
                <w:highlight w:val="none"/>
              </w:rPr>
              <w:t>3～5m/s</w:t>
            </w:r>
          </w:p>
        </w:tc>
        <w:tc>
          <w:tcPr>
            <w:tcW w:w="1238" w:type="dxa"/>
          </w:tcPr>
          <w:p w14:paraId="2DEC882E">
            <w:pPr>
              <w:pStyle w:val="121"/>
              <w:spacing w:line="480" w:lineRule="exact"/>
              <w:rPr>
                <w:highlight w:val="none"/>
              </w:rPr>
            </w:pPr>
          </w:p>
        </w:tc>
      </w:tr>
      <w:tr w14:paraId="01BDF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1" w:type="dxa"/>
          </w:tcPr>
          <w:p w14:paraId="49D911E8">
            <w:pPr>
              <w:pStyle w:val="121"/>
              <w:spacing w:line="480" w:lineRule="exact"/>
              <w:rPr>
                <w:highlight w:val="none"/>
              </w:rPr>
            </w:pPr>
            <w:r>
              <w:rPr>
                <w:rFonts w:hint="eastAsia"/>
                <w:highlight w:val="none"/>
              </w:rPr>
              <w:t>3</w:t>
            </w:r>
          </w:p>
        </w:tc>
        <w:tc>
          <w:tcPr>
            <w:tcW w:w="2664" w:type="dxa"/>
          </w:tcPr>
          <w:p w14:paraId="5DF2C8FF">
            <w:pPr>
              <w:pStyle w:val="121"/>
              <w:spacing w:line="480" w:lineRule="exact"/>
              <w:rPr>
                <w:highlight w:val="none"/>
              </w:rPr>
            </w:pPr>
            <w:r>
              <w:rPr>
                <w:highlight w:val="none"/>
              </w:rPr>
              <w:t>辅助冷却水进水管道</w:t>
            </w:r>
          </w:p>
        </w:tc>
        <w:tc>
          <w:tcPr>
            <w:tcW w:w="3453" w:type="dxa"/>
          </w:tcPr>
          <w:p w14:paraId="257259DE">
            <w:pPr>
              <w:pStyle w:val="121"/>
              <w:spacing w:line="480" w:lineRule="exact"/>
              <w:rPr>
                <w:highlight w:val="none"/>
              </w:rPr>
            </w:pPr>
            <w:r>
              <w:rPr>
                <w:rFonts w:hint="eastAsia"/>
                <w:highlight w:val="none"/>
              </w:rPr>
              <w:t>≤</w:t>
            </w:r>
            <w:r>
              <w:rPr>
                <w:highlight w:val="none"/>
              </w:rPr>
              <w:t>1.5m/s</w:t>
            </w:r>
          </w:p>
        </w:tc>
        <w:tc>
          <w:tcPr>
            <w:tcW w:w="1238" w:type="dxa"/>
          </w:tcPr>
          <w:p w14:paraId="44AE786F">
            <w:pPr>
              <w:pStyle w:val="121"/>
              <w:spacing w:line="480" w:lineRule="exact"/>
              <w:rPr>
                <w:highlight w:val="none"/>
              </w:rPr>
            </w:pPr>
          </w:p>
        </w:tc>
      </w:tr>
      <w:tr w14:paraId="6BE68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1" w:type="dxa"/>
          </w:tcPr>
          <w:p w14:paraId="7A0F0644">
            <w:pPr>
              <w:pStyle w:val="121"/>
              <w:spacing w:line="480" w:lineRule="exact"/>
              <w:rPr>
                <w:highlight w:val="none"/>
              </w:rPr>
            </w:pPr>
            <w:r>
              <w:rPr>
                <w:rFonts w:hint="eastAsia"/>
                <w:highlight w:val="none"/>
              </w:rPr>
              <w:t>4</w:t>
            </w:r>
          </w:p>
        </w:tc>
        <w:tc>
          <w:tcPr>
            <w:tcW w:w="2664" w:type="dxa"/>
          </w:tcPr>
          <w:p w14:paraId="18D411B7">
            <w:pPr>
              <w:pStyle w:val="121"/>
              <w:spacing w:line="480" w:lineRule="exact"/>
              <w:rPr>
                <w:highlight w:val="none"/>
              </w:rPr>
            </w:pPr>
            <w:r>
              <w:rPr>
                <w:highlight w:val="none"/>
              </w:rPr>
              <w:t>辅助冷却水排出管道</w:t>
            </w:r>
          </w:p>
        </w:tc>
        <w:tc>
          <w:tcPr>
            <w:tcW w:w="3453" w:type="dxa"/>
          </w:tcPr>
          <w:p w14:paraId="32A3610D">
            <w:pPr>
              <w:pStyle w:val="121"/>
              <w:spacing w:line="480" w:lineRule="exact"/>
              <w:rPr>
                <w:highlight w:val="none"/>
              </w:rPr>
            </w:pPr>
            <w:r>
              <w:rPr>
                <w:rFonts w:hint="eastAsia"/>
                <w:highlight w:val="none"/>
              </w:rPr>
              <w:t>≤</w:t>
            </w:r>
            <w:r>
              <w:rPr>
                <w:highlight w:val="none"/>
              </w:rPr>
              <w:t>2.0m/s</w:t>
            </w:r>
          </w:p>
        </w:tc>
        <w:tc>
          <w:tcPr>
            <w:tcW w:w="1238" w:type="dxa"/>
          </w:tcPr>
          <w:p w14:paraId="2C6F55DE">
            <w:pPr>
              <w:pStyle w:val="121"/>
              <w:spacing w:line="480" w:lineRule="exact"/>
              <w:rPr>
                <w:highlight w:val="none"/>
              </w:rPr>
            </w:pPr>
          </w:p>
        </w:tc>
      </w:tr>
      <w:tr w14:paraId="56E68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1" w:type="dxa"/>
          </w:tcPr>
          <w:p w14:paraId="541D393C">
            <w:pPr>
              <w:pStyle w:val="121"/>
              <w:spacing w:line="480" w:lineRule="exact"/>
              <w:rPr>
                <w:highlight w:val="none"/>
              </w:rPr>
            </w:pPr>
            <w:r>
              <w:rPr>
                <w:rFonts w:hint="eastAsia"/>
                <w:highlight w:val="none"/>
              </w:rPr>
              <w:t>5</w:t>
            </w:r>
          </w:p>
        </w:tc>
        <w:tc>
          <w:tcPr>
            <w:tcW w:w="2664" w:type="dxa"/>
          </w:tcPr>
          <w:p w14:paraId="02D00963">
            <w:pPr>
              <w:pStyle w:val="121"/>
              <w:spacing w:line="480" w:lineRule="exact"/>
              <w:rPr>
                <w:highlight w:val="none"/>
              </w:rPr>
            </w:pPr>
            <w:r>
              <w:rPr>
                <w:highlight w:val="none"/>
              </w:rPr>
              <w:t>主冷却水管道</w:t>
            </w:r>
          </w:p>
        </w:tc>
        <w:tc>
          <w:tcPr>
            <w:tcW w:w="3453" w:type="dxa"/>
          </w:tcPr>
          <w:p w14:paraId="043ABFCD">
            <w:pPr>
              <w:pStyle w:val="121"/>
              <w:spacing w:line="480" w:lineRule="exact"/>
              <w:rPr>
                <w:highlight w:val="none"/>
              </w:rPr>
            </w:pPr>
            <w:r>
              <w:rPr>
                <w:rFonts w:hint="eastAsia"/>
                <w:highlight w:val="none"/>
              </w:rPr>
              <w:t>≤</w:t>
            </w:r>
            <w:r>
              <w:rPr>
                <w:highlight w:val="none"/>
              </w:rPr>
              <w:t>2.2m/s</w:t>
            </w:r>
          </w:p>
        </w:tc>
        <w:tc>
          <w:tcPr>
            <w:tcW w:w="1238" w:type="dxa"/>
          </w:tcPr>
          <w:p w14:paraId="61F5A1B9">
            <w:pPr>
              <w:pStyle w:val="121"/>
              <w:spacing w:line="480" w:lineRule="exact"/>
              <w:rPr>
                <w:highlight w:val="none"/>
              </w:rPr>
            </w:pPr>
          </w:p>
        </w:tc>
      </w:tr>
      <w:tr w14:paraId="680B5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1" w:type="dxa"/>
          </w:tcPr>
          <w:p w14:paraId="5ABC78A0">
            <w:pPr>
              <w:pStyle w:val="121"/>
              <w:spacing w:line="480" w:lineRule="exact"/>
              <w:rPr>
                <w:highlight w:val="none"/>
              </w:rPr>
            </w:pPr>
            <w:r>
              <w:rPr>
                <w:rFonts w:hint="eastAsia"/>
                <w:highlight w:val="none"/>
              </w:rPr>
              <w:t>6</w:t>
            </w:r>
          </w:p>
        </w:tc>
        <w:tc>
          <w:tcPr>
            <w:tcW w:w="2664" w:type="dxa"/>
          </w:tcPr>
          <w:p w14:paraId="38277160">
            <w:pPr>
              <w:pStyle w:val="121"/>
              <w:spacing w:line="480" w:lineRule="exact"/>
              <w:rPr>
                <w:highlight w:val="none"/>
              </w:rPr>
            </w:pPr>
            <w:r>
              <w:rPr>
                <w:highlight w:val="none"/>
              </w:rPr>
              <w:t>风机入口管</w:t>
            </w:r>
          </w:p>
        </w:tc>
        <w:tc>
          <w:tcPr>
            <w:tcW w:w="3453" w:type="dxa"/>
          </w:tcPr>
          <w:p w14:paraId="11B9F65F">
            <w:pPr>
              <w:pStyle w:val="121"/>
              <w:spacing w:line="480" w:lineRule="exact"/>
              <w:rPr>
                <w:highlight w:val="none"/>
              </w:rPr>
            </w:pPr>
            <w:r>
              <w:rPr>
                <w:rFonts w:hint="eastAsia"/>
                <w:highlight w:val="none"/>
              </w:rPr>
              <w:t>≤</w:t>
            </w:r>
            <w:r>
              <w:rPr>
                <w:highlight w:val="none"/>
              </w:rPr>
              <w:t>18m/s(标准温度、压力下)</w:t>
            </w:r>
          </w:p>
        </w:tc>
        <w:tc>
          <w:tcPr>
            <w:tcW w:w="1238" w:type="dxa"/>
          </w:tcPr>
          <w:p w14:paraId="6B3380BA">
            <w:pPr>
              <w:pStyle w:val="121"/>
              <w:spacing w:line="480" w:lineRule="exact"/>
              <w:rPr>
                <w:highlight w:val="none"/>
              </w:rPr>
            </w:pPr>
          </w:p>
        </w:tc>
      </w:tr>
      <w:tr w14:paraId="11319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1" w:type="dxa"/>
          </w:tcPr>
          <w:p w14:paraId="47A64611">
            <w:pPr>
              <w:pStyle w:val="121"/>
              <w:spacing w:line="480" w:lineRule="exact"/>
              <w:rPr>
                <w:highlight w:val="none"/>
              </w:rPr>
            </w:pPr>
            <w:r>
              <w:rPr>
                <w:rFonts w:hint="eastAsia"/>
                <w:highlight w:val="none"/>
              </w:rPr>
              <w:t>7</w:t>
            </w:r>
          </w:p>
        </w:tc>
        <w:tc>
          <w:tcPr>
            <w:tcW w:w="2664" w:type="dxa"/>
          </w:tcPr>
          <w:p w14:paraId="652F9E90">
            <w:pPr>
              <w:pStyle w:val="121"/>
              <w:spacing w:line="480" w:lineRule="exact"/>
              <w:rPr>
                <w:highlight w:val="none"/>
              </w:rPr>
            </w:pPr>
            <w:r>
              <w:rPr>
                <w:highlight w:val="none"/>
              </w:rPr>
              <w:t>风机出口管</w:t>
            </w:r>
          </w:p>
        </w:tc>
        <w:tc>
          <w:tcPr>
            <w:tcW w:w="3453" w:type="dxa"/>
          </w:tcPr>
          <w:p w14:paraId="2E2170F3">
            <w:pPr>
              <w:pStyle w:val="121"/>
              <w:spacing w:line="480" w:lineRule="exact"/>
              <w:rPr>
                <w:highlight w:val="none"/>
              </w:rPr>
            </w:pPr>
            <w:r>
              <w:rPr>
                <w:rFonts w:hint="eastAsia"/>
                <w:highlight w:val="none"/>
              </w:rPr>
              <w:t>≤</w:t>
            </w:r>
            <w:r>
              <w:rPr>
                <w:highlight w:val="none"/>
              </w:rPr>
              <w:t>30m/s(标准温度、压力下)</w:t>
            </w:r>
          </w:p>
        </w:tc>
        <w:tc>
          <w:tcPr>
            <w:tcW w:w="1238" w:type="dxa"/>
          </w:tcPr>
          <w:p w14:paraId="0DB165D6">
            <w:pPr>
              <w:pStyle w:val="121"/>
              <w:spacing w:line="480" w:lineRule="exact"/>
              <w:rPr>
                <w:highlight w:val="none"/>
              </w:rPr>
            </w:pPr>
          </w:p>
        </w:tc>
      </w:tr>
    </w:tbl>
    <w:p w14:paraId="4C5261C3">
      <w:pPr>
        <w:spacing w:line="480" w:lineRule="exact"/>
        <w:ind w:firstLine="480"/>
        <w:rPr>
          <w:highlight w:val="none"/>
        </w:rPr>
      </w:pPr>
      <w:r>
        <w:rPr>
          <w:rFonts w:hint="eastAsia"/>
          <w:highlight w:val="none"/>
        </w:rPr>
        <w:t>1.10.1</w:t>
      </w:r>
      <w:r>
        <w:rPr>
          <w:highlight w:val="none"/>
        </w:rPr>
        <w:t>2各种管道安装后应有明确的管路标识。</w:t>
      </w:r>
    </w:p>
    <w:p w14:paraId="5A1AFA25">
      <w:pPr>
        <w:pStyle w:val="103"/>
        <w:numPr>
          <w:ilvl w:val="2"/>
          <w:numId w:val="0"/>
        </w:numPr>
        <w:spacing w:line="480" w:lineRule="exact"/>
        <w:ind w:firstLine="482" w:firstLineChars="200"/>
        <w:rPr>
          <w:highlight w:val="none"/>
        </w:rPr>
      </w:pPr>
      <w:r>
        <w:rPr>
          <w:rFonts w:hint="eastAsia"/>
          <w:highlight w:val="none"/>
        </w:rPr>
        <w:t>1.11阀门</w:t>
      </w:r>
    </w:p>
    <w:p w14:paraId="3372285F">
      <w:pPr>
        <w:spacing w:line="480" w:lineRule="exact"/>
        <w:ind w:firstLine="480"/>
        <w:rPr>
          <w:highlight w:val="none"/>
        </w:rPr>
      </w:pPr>
      <w:r>
        <w:rPr>
          <w:rFonts w:hint="eastAsia"/>
          <w:highlight w:val="none"/>
        </w:rPr>
        <w:t>1.11.1</w:t>
      </w:r>
      <w:r>
        <w:rPr>
          <w:highlight w:val="none"/>
        </w:rPr>
        <w:t>所有阀门说明阀门的品牌及产地、型号，适合于使用条件，同规格阀门应能互换。</w:t>
      </w:r>
    </w:p>
    <w:p w14:paraId="64DEA15F">
      <w:pPr>
        <w:spacing w:line="480" w:lineRule="exact"/>
        <w:ind w:firstLine="480"/>
        <w:rPr>
          <w:highlight w:val="none"/>
        </w:rPr>
      </w:pPr>
      <w:r>
        <w:rPr>
          <w:rFonts w:hint="eastAsia"/>
          <w:highlight w:val="none"/>
        </w:rPr>
        <w:t>1.11.2</w:t>
      </w:r>
      <w:r>
        <w:rPr>
          <w:highlight w:val="none"/>
        </w:rPr>
        <w:t>所有阀门的材料、设计与具体结构都应符合有关标准。任何阀门的最低设计压力应为0.1MPa（表压）。</w:t>
      </w:r>
    </w:p>
    <w:p w14:paraId="627793FA">
      <w:pPr>
        <w:spacing w:line="480" w:lineRule="exact"/>
        <w:ind w:firstLine="480"/>
        <w:rPr>
          <w:highlight w:val="none"/>
        </w:rPr>
      </w:pPr>
      <w:r>
        <w:rPr>
          <w:rFonts w:hint="eastAsia"/>
          <w:highlight w:val="none"/>
        </w:rPr>
        <w:t>1.11.3</w:t>
      </w:r>
      <w:r>
        <w:rPr>
          <w:highlight w:val="none"/>
        </w:rPr>
        <w:t>手轮离地面或平台约1m的高度，以便操作阀门，设置刚性好的阀门支座。阀门所用的齿轮均用铸钢或锻钢经机加工而成。</w:t>
      </w:r>
    </w:p>
    <w:p w14:paraId="34B52493">
      <w:pPr>
        <w:spacing w:line="480" w:lineRule="exact"/>
        <w:ind w:firstLine="480"/>
        <w:rPr>
          <w:highlight w:val="none"/>
        </w:rPr>
      </w:pPr>
      <w:r>
        <w:rPr>
          <w:rFonts w:hint="eastAsia"/>
          <w:highlight w:val="none"/>
        </w:rPr>
        <w:t>1.11.4</w:t>
      </w:r>
      <w:r>
        <w:rPr>
          <w:highlight w:val="none"/>
        </w:rPr>
        <w:t>所有阀门均依靠转动手轮进行（开）关闭：对着手轮看时，手轮顺时针方向转动为关。如果手轮不是直接与阀杆相连，则需使用适当的齿轮传动装置，但应保证顺时针方向为关闭。每一手轮的面上应有清晰地标志“开”和“关”及表示旋转方向的箭头。</w:t>
      </w:r>
    </w:p>
    <w:p w14:paraId="2BAEF913">
      <w:pPr>
        <w:spacing w:line="480" w:lineRule="exact"/>
        <w:ind w:firstLine="480"/>
        <w:rPr>
          <w:highlight w:val="none"/>
        </w:rPr>
      </w:pPr>
      <w:r>
        <w:rPr>
          <w:rFonts w:hint="eastAsia"/>
          <w:highlight w:val="none"/>
        </w:rPr>
        <w:t>1.11.5</w:t>
      </w:r>
      <w:r>
        <w:rPr>
          <w:highlight w:val="none"/>
        </w:rPr>
        <w:t>所有阀门均应装置铭牌。</w:t>
      </w:r>
    </w:p>
    <w:p w14:paraId="37281B47">
      <w:pPr>
        <w:spacing w:line="480" w:lineRule="exact"/>
        <w:ind w:firstLine="480"/>
        <w:rPr>
          <w:highlight w:val="none"/>
        </w:rPr>
      </w:pPr>
      <w:r>
        <w:rPr>
          <w:rFonts w:hint="eastAsia"/>
          <w:highlight w:val="none"/>
        </w:rPr>
        <w:t>1.11.6</w:t>
      </w:r>
      <w:r>
        <w:rPr>
          <w:highlight w:val="none"/>
        </w:rPr>
        <w:t>所有手操作的阀门应方便地由一人操作，其手操作力不得大于150N（15kgf）。</w:t>
      </w:r>
    </w:p>
    <w:p w14:paraId="4A33B24C">
      <w:pPr>
        <w:spacing w:line="480" w:lineRule="exact"/>
        <w:ind w:firstLine="480"/>
        <w:rPr>
          <w:highlight w:val="none"/>
        </w:rPr>
      </w:pPr>
      <w:r>
        <w:rPr>
          <w:rFonts w:hint="eastAsia"/>
          <w:highlight w:val="none"/>
        </w:rPr>
        <w:t>1.11.7</w:t>
      </w:r>
      <w:r>
        <w:rPr>
          <w:highlight w:val="none"/>
        </w:rPr>
        <w:t>所有阀门均应设置易于直视的开度指示器。当阀门需要接长的阀杆时，在阀杆和接长的阀杆上都要设置指示器。</w:t>
      </w:r>
    </w:p>
    <w:p w14:paraId="05C9C637">
      <w:pPr>
        <w:spacing w:line="480" w:lineRule="exact"/>
        <w:ind w:firstLine="480"/>
        <w:rPr>
          <w:highlight w:val="none"/>
        </w:rPr>
      </w:pPr>
      <w:r>
        <w:rPr>
          <w:rFonts w:hint="eastAsia"/>
          <w:highlight w:val="none"/>
        </w:rPr>
        <w:t>1.11.8</w:t>
      </w:r>
      <w:r>
        <w:rPr>
          <w:highlight w:val="none"/>
        </w:rPr>
        <w:t>室外使用的阀门杆和导向支承，应有保护措施。</w:t>
      </w:r>
    </w:p>
    <w:p w14:paraId="5F87827C">
      <w:pPr>
        <w:spacing w:line="480" w:lineRule="exact"/>
        <w:ind w:firstLine="480"/>
        <w:rPr>
          <w:highlight w:val="none"/>
        </w:rPr>
      </w:pPr>
      <w:r>
        <w:rPr>
          <w:rFonts w:hint="eastAsia"/>
          <w:highlight w:val="none"/>
        </w:rPr>
        <w:t>1.11.9</w:t>
      </w:r>
      <w:r>
        <w:rPr>
          <w:highlight w:val="none"/>
        </w:rPr>
        <w:t>闸阀、球阀及下旋式逆止阀均采用外螺纹不升型手轮。</w:t>
      </w:r>
    </w:p>
    <w:p w14:paraId="0805A1D3">
      <w:pPr>
        <w:spacing w:line="480" w:lineRule="exact"/>
        <w:ind w:firstLine="480"/>
        <w:rPr>
          <w:highlight w:val="none"/>
        </w:rPr>
      </w:pPr>
      <w:r>
        <w:rPr>
          <w:rFonts w:hint="eastAsia"/>
          <w:highlight w:val="none"/>
        </w:rPr>
        <w:t>1.11.10</w:t>
      </w:r>
      <w:r>
        <w:rPr>
          <w:highlight w:val="none"/>
        </w:rPr>
        <w:t>阀门中各零件的其它材料必须按要求选择。化学成份、机械强度及热处理条件均应符合有关的标准。对于螺钉、螺栓和螺母的材料，必须严格遵守其使用温度极限。所有暴露的螺母、螺栓（用于密封压盖、阀盖）均应用不锈钢制造。</w:t>
      </w:r>
    </w:p>
    <w:p w14:paraId="30AE99E0">
      <w:pPr>
        <w:spacing w:line="480" w:lineRule="exact"/>
        <w:ind w:firstLine="480"/>
        <w:rPr>
          <w:highlight w:val="none"/>
        </w:rPr>
      </w:pPr>
      <w:r>
        <w:rPr>
          <w:rFonts w:hint="eastAsia"/>
          <w:highlight w:val="none"/>
        </w:rPr>
        <w:t>1.11.11</w:t>
      </w:r>
      <w:r>
        <w:rPr>
          <w:highlight w:val="none"/>
        </w:rPr>
        <w:t>阀门连接法兰应按有关标准中的连接尺寸及材料最小厚度执行。</w:t>
      </w:r>
    </w:p>
    <w:p w14:paraId="2FFBC4FD">
      <w:pPr>
        <w:spacing w:line="480" w:lineRule="exact"/>
        <w:ind w:firstLine="480"/>
        <w:rPr>
          <w:highlight w:val="none"/>
        </w:rPr>
      </w:pPr>
      <w:r>
        <w:rPr>
          <w:rFonts w:hint="eastAsia"/>
          <w:highlight w:val="none"/>
        </w:rPr>
        <w:t>1.11.12</w:t>
      </w:r>
      <w:r>
        <w:rPr>
          <w:highlight w:val="none"/>
        </w:rPr>
        <w:t>自动阀门采用电动执行器，电动阀门的设置须满足现场无人值守的要求。</w:t>
      </w:r>
    </w:p>
    <w:p w14:paraId="469CAF3A">
      <w:pPr>
        <w:pStyle w:val="103"/>
        <w:numPr>
          <w:ilvl w:val="2"/>
          <w:numId w:val="0"/>
        </w:numPr>
        <w:spacing w:line="480" w:lineRule="exact"/>
        <w:ind w:firstLine="482" w:firstLineChars="200"/>
        <w:rPr>
          <w:highlight w:val="none"/>
        </w:rPr>
      </w:pPr>
      <w:bookmarkStart w:id="61" w:name="_Toc11365"/>
      <w:bookmarkStart w:id="62" w:name="_Toc83391356"/>
      <w:bookmarkStart w:id="63" w:name="_Toc13245"/>
      <w:r>
        <w:rPr>
          <w:rFonts w:hint="eastAsia"/>
          <w:highlight w:val="none"/>
        </w:rPr>
        <w:t>1.12</w:t>
      </w:r>
      <w:r>
        <w:rPr>
          <w:highlight w:val="none"/>
        </w:rPr>
        <w:t>电气</w:t>
      </w:r>
      <w:r>
        <w:rPr>
          <w:rFonts w:hint="eastAsia"/>
          <w:highlight w:val="none"/>
        </w:rPr>
        <w:t>自控</w:t>
      </w:r>
      <w:r>
        <w:rPr>
          <w:highlight w:val="none"/>
        </w:rPr>
        <w:t>要求</w:t>
      </w:r>
      <w:bookmarkEnd w:id="61"/>
      <w:bookmarkEnd w:id="62"/>
      <w:bookmarkEnd w:id="63"/>
    </w:p>
    <w:p w14:paraId="2AA39E37">
      <w:pPr>
        <w:spacing w:line="480" w:lineRule="exact"/>
        <w:ind w:firstLine="480"/>
        <w:rPr>
          <w:highlight w:val="none"/>
        </w:rPr>
      </w:pPr>
      <w:r>
        <w:rPr>
          <w:rFonts w:hint="eastAsia"/>
          <w:highlight w:val="none"/>
        </w:rPr>
        <w:t>1.12.1通用技术要求</w:t>
      </w:r>
    </w:p>
    <w:p w14:paraId="09F44CEE">
      <w:pPr>
        <w:spacing w:line="480" w:lineRule="exact"/>
        <w:ind w:firstLine="480"/>
        <w:rPr>
          <w:highlight w:val="none"/>
        </w:rPr>
      </w:pPr>
      <w:r>
        <w:rPr>
          <w:rFonts w:hint="eastAsia"/>
          <w:highlight w:val="none"/>
        </w:rPr>
        <w:t>1.12.1.1投标人提供的控制柜和机箱，为安装在其内部或上面的设备提供环境保护。即能防尘、防滴水、防潮、防昆虫及啮齿动物，能耐指定的高、低温度以及支承结构的振动。</w:t>
      </w:r>
    </w:p>
    <w:p w14:paraId="37202D1C">
      <w:pPr>
        <w:spacing w:line="480" w:lineRule="exact"/>
        <w:ind w:firstLine="480"/>
        <w:rPr>
          <w:highlight w:val="none"/>
        </w:rPr>
      </w:pPr>
      <w:r>
        <w:rPr>
          <w:rFonts w:hint="eastAsia"/>
          <w:highlight w:val="none"/>
        </w:rPr>
        <w:t>1.12.1.2控制柜的设计，材料选择符合国家相关规范，柜体内、外表面光滑整洁，没有焊接、铆钉或外侧出现的螺栓头。柜体外表面采用喷塑工艺处理。</w:t>
      </w:r>
    </w:p>
    <w:p w14:paraId="2F590073">
      <w:pPr>
        <w:spacing w:line="480" w:lineRule="exact"/>
        <w:ind w:firstLine="480"/>
        <w:rPr>
          <w:highlight w:val="none"/>
        </w:rPr>
      </w:pPr>
      <w:r>
        <w:rPr>
          <w:rFonts w:hint="eastAsia"/>
          <w:highlight w:val="none"/>
        </w:rPr>
        <w:t>1.12.1.3控制柜有足够的强度能经受住搬运、安装和运行期间短路产生的所有偶然应力。控制柜、控制箱本体所有导电部件均应考虑接地措施，与机柜、机箱设备相连，保证设备接地安全可靠。柜内严禁使用粘贴方式固定元件、线槽、连接线等（元件标示贴除外）； 就地控制箱内部若混装动力回路和弱电信号回路，将两种回路所关联的设备、端子牌和连接导线分开布置，并有防止干扰的屏蔽措施及便于检修的安全措施。</w:t>
      </w:r>
    </w:p>
    <w:p w14:paraId="7ADBF4AD">
      <w:pPr>
        <w:spacing w:line="480" w:lineRule="exact"/>
        <w:ind w:firstLine="480"/>
        <w:rPr>
          <w:highlight w:val="none"/>
        </w:rPr>
      </w:pPr>
      <w:r>
        <w:rPr>
          <w:rFonts w:hint="eastAsia"/>
          <w:highlight w:val="none"/>
        </w:rPr>
        <w:t>1.12.2 PLC柜及低压传动柜</w:t>
      </w:r>
    </w:p>
    <w:p w14:paraId="60CFBEC6">
      <w:pPr>
        <w:spacing w:line="480" w:lineRule="exact"/>
        <w:ind w:firstLine="480"/>
        <w:rPr>
          <w:highlight w:val="none"/>
        </w:rPr>
      </w:pPr>
      <w:r>
        <w:rPr>
          <w:rFonts w:hint="eastAsia"/>
          <w:highlight w:val="none"/>
        </w:rPr>
        <w:t>1.12.2.1</w:t>
      </w:r>
      <w:r>
        <w:rPr>
          <w:highlight w:val="none"/>
        </w:rPr>
        <w:t>含PLC控制系统，数据采集系统；远程监控模块，15寸工业触摸屏</w:t>
      </w:r>
      <w:r>
        <w:rPr>
          <w:rFonts w:hint="eastAsia"/>
          <w:highlight w:val="none"/>
        </w:rPr>
        <w:t>。</w:t>
      </w:r>
    </w:p>
    <w:p w14:paraId="4215F272">
      <w:pPr>
        <w:spacing w:line="480" w:lineRule="exact"/>
        <w:ind w:firstLine="480"/>
        <w:rPr>
          <w:highlight w:val="none"/>
        </w:rPr>
      </w:pPr>
      <w:r>
        <w:rPr>
          <w:rFonts w:hint="eastAsia"/>
          <w:highlight w:val="none"/>
        </w:rPr>
        <w:t>1.12.2.2含设备运行中央控制所需的设施，包括但不限于自动控制系统、编程软件和组态软件、下位机、上位机（工控机、显示器）等。</w:t>
      </w:r>
    </w:p>
    <w:p w14:paraId="49A83FE9">
      <w:pPr>
        <w:spacing w:line="480" w:lineRule="exact"/>
        <w:ind w:firstLine="480"/>
        <w:rPr>
          <w:highlight w:val="none"/>
        </w:rPr>
      </w:pPr>
      <w:r>
        <w:rPr>
          <w:rFonts w:hint="eastAsia"/>
          <w:highlight w:val="none"/>
        </w:rPr>
        <w:t>1.12.2.3PLC柜采用PS柜体；低压配电柜采用抽屉柜，前后开门，门带锁；下进线、下出线，下进气，上出气，底板开电缆进线口。柜体材质：碳钢，箱板厚2.0mm，安装板厚不小于2.5mm，防护等级：IP54。</w:t>
      </w:r>
    </w:p>
    <w:p w14:paraId="3DA35BBC">
      <w:pPr>
        <w:spacing w:line="480" w:lineRule="exact"/>
        <w:ind w:firstLine="480"/>
        <w:rPr>
          <w:highlight w:val="none"/>
        </w:rPr>
      </w:pPr>
      <w:r>
        <w:rPr>
          <w:rFonts w:hint="eastAsia"/>
          <w:highlight w:val="none"/>
        </w:rPr>
        <w:t>1.12.3</w:t>
      </w:r>
      <w:r>
        <w:rPr>
          <w:highlight w:val="none"/>
        </w:rPr>
        <w:t>现场操作箱规格：结构：前单开门，外包门带锁。</w:t>
      </w:r>
    </w:p>
    <w:p w14:paraId="198E7E69">
      <w:pPr>
        <w:spacing w:line="480" w:lineRule="exact"/>
        <w:ind w:firstLine="480"/>
        <w:rPr>
          <w:highlight w:val="none"/>
        </w:rPr>
      </w:pPr>
      <w:r>
        <w:rPr>
          <w:rFonts w:hint="eastAsia"/>
          <w:highlight w:val="none"/>
        </w:rPr>
        <w:t>1.12.3.1</w:t>
      </w:r>
      <w:r>
        <w:rPr>
          <w:highlight w:val="none"/>
        </w:rPr>
        <w:t>柜体材质：碳钢喷塑，箱板厚</w:t>
      </w:r>
      <w:r>
        <w:rPr>
          <w:rFonts w:asciiTheme="minorEastAsia" w:hAnsiTheme="minorEastAsia" w:eastAsiaTheme="minorEastAsia"/>
          <w:highlight w:val="none"/>
        </w:rPr>
        <w:t>≥</w:t>
      </w:r>
      <w:r>
        <w:rPr>
          <w:highlight w:val="none"/>
        </w:rPr>
        <w:t>1.5mm，安装板厚</w:t>
      </w:r>
      <w:r>
        <w:rPr>
          <w:rFonts w:asciiTheme="minorEastAsia" w:hAnsiTheme="minorEastAsia" w:eastAsiaTheme="minorEastAsia"/>
          <w:highlight w:val="none"/>
        </w:rPr>
        <w:t>≥</w:t>
      </w:r>
      <w:r>
        <w:rPr>
          <w:highlight w:val="none"/>
        </w:rPr>
        <w:t>1.5mm，防护等级IP65及以上。</w:t>
      </w:r>
    </w:p>
    <w:p w14:paraId="7F78BB85">
      <w:pPr>
        <w:spacing w:line="480" w:lineRule="exact"/>
        <w:ind w:firstLine="480"/>
        <w:rPr>
          <w:highlight w:val="none"/>
        </w:rPr>
      </w:pPr>
      <w:r>
        <w:rPr>
          <w:rFonts w:hint="eastAsia"/>
          <w:highlight w:val="none"/>
        </w:rPr>
        <w:t>1.12.3.2</w:t>
      </w:r>
      <w:r>
        <w:rPr>
          <w:highlight w:val="none"/>
        </w:rPr>
        <w:t>对于室外布置的仪表箱或就地控制箱，按双层门设计，带遮雨檐，防护等级IP65。</w:t>
      </w:r>
    </w:p>
    <w:p w14:paraId="18BA6DD9">
      <w:pPr>
        <w:spacing w:line="480" w:lineRule="exact"/>
        <w:ind w:firstLine="480"/>
        <w:rPr>
          <w:rFonts w:ascii="宋体" w:hAnsi="宋体"/>
          <w:spacing w:val="-2"/>
          <w:szCs w:val="24"/>
          <w:highlight w:val="none"/>
        </w:rPr>
      </w:pPr>
      <w:r>
        <w:rPr>
          <w:rFonts w:hint="eastAsia"/>
          <w:highlight w:val="none"/>
        </w:rPr>
        <w:t>1.12.</w:t>
      </w:r>
      <w:r>
        <w:rPr>
          <w:rFonts w:hint="eastAsia" w:ascii="宋体" w:hAnsi="宋体"/>
          <w:spacing w:val="-2"/>
          <w:szCs w:val="24"/>
          <w:highlight w:val="none"/>
        </w:rPr>
        <w:t>4</w:t>
      </w:r>
      <w:r>
        <w:rPr>
          <w:rFonts w:ascii="宋体" w:hAnsi="宋体"/>
          <w:spacing w:val="-2"/>
          <w:szCs w:val="24"/>
          <w:highlight w:val="none"/>
        </w:rPr>
        <w:t>柜内导线选择 测量、控制和电源分配回路的导线，电线的线芯材质为铜芯。电气柜、箱等内部的连接线将选用铜芯绝缘电线，需经插件的连接线将采用同种材料的软线。每根连接导线的两端均要求有永久线号标识。</w:t>
      </w:r>
    </w:p>
    <w:p w14:paraId="44123B86">
      <w:pPr>
        <w:spacing w:line="480" w:lineRule="exact"/>
        <w:ind w:firstLine="480"/>
        <w:rPr>
          <w:rFonts w:ascii="宋体" w:hAnsi="宋体"/>
          <w:spacing w:val="-2"/>
          <w:szCs w:val="24"/>
          <w:highlight w:val="none"/>
        </w:rPr>
      </w:pPr>
      <w:r>
        <w:rPr>
          <w:rFonts w:hint="eastAsia"/>
          <w:highlight w:val="none"/>
        </w:rPr>
        <w:t>1.12.</w:t>
      </w:r>
      <w:r>
        <w:rPr>
          <w:rFonts w:hint="eastAsia" w:ascii="宋体" w:hAnsi="宋体"/>
          <w:spacing w:val="-2"/>
          <w:szCs w:val="24"/>
          <w:highlight w:val="none"/>
        </w:rPr>
        <w:t>5</w:t>
      </w:r>
      <w:r>
        <w:rPr>
          <w:rFonts w:ascii="宋体" w:hAnsi="宋体"/>
          <w:spacing w:val="-2"/>
          <w:szCs w:val="24"/>
          <w:highlight w:val="none"/>
        </w:rPr>
        <w:t>仪表及设备设计要求</w:t>
      </w:r>
      <w:r>
        <w:rPr>
          <w:rFonts w:hint="eastAsia" w:ascii="宋体" w:hAnsi="宋体"/>
          <w:spacing w:val="-2"/>
          <w:szCs w:val="24"/>
          <w:highlight w:val="none"/>
        </w:rPr>
        <w:t>：</w:t>
      </w:r>
    </w:p>
    <w:p w14:paraId="63A2AEE2">
      <w:pPr>
        <w:spacing w:line="480" w:lineRule="exact"/>
        <w:ind w:firstLine="480"/>
        <w:rPr>
          <w:rFonts w:ascii="宋体" w:hAnsi="宋体"/>
          <w:spacing w:val="-2"/>
          <w:szCs w:val="24"/>
          <w:highlight w:val="none"/>
        </w:rPr>
      </w:pPr>
      <w:r>
        <w:rPr>
          <w:rFonts w:hint="eastAsia"/>
          <w:highlight w:val="none"/>
        </w:rPr>
        <w:t>1.12.</w:t>
      </w:r>
      <w:r>
        <w:rPr>
          <w:rFonts w:hint="eastAsia" w:ascii="宋体" w:hAnsi="宋体"/>
          <w:spacing w:val="-2"/>
          <w:szCs w:val="24"/>
          <w:highlight w:val="none"/>
        </w:rPr>
        <w:t>5</w:t>
      </w:r>
      <w:r>
        <w:rPr>
          <w:rFonts w:hint="eastAsia"/>
          <w:highlight w:val="none"/>
        </w:rPr>
        <w:t>.1</w:t>
      </w:r>
      <w:r>
        <w:rPr>
          <w:rFonts w:ascii="宋体" w:hAnsi="宋体"/>
          <w:spacing w:val="-2"/>
          <w:szCs w:val="24"/>
          <w:highlight w:val="none"/>
        </w:rPr>
        <w:t>本项目仪控设备要求按智能产品配置。投标人应提供受控装置执行单元、气动阀、电动阀、变频器以及相关仪表。</w:t>
      </w:r>
    </w:p>
    <w:p w14:paraId="25526F04">
      <w:pPr>
        <w:spacing w:line="480" w:lineRule="exact"/>
        <w:ind w:firstLine="480"/>
        <w:rPr>
          <w:rFonts w:ascii="宋体" w:hAnsi="宋体"/>
          <w:spacing w:val="-2"/>
          <w:szCs w:val="24"/>
          <w:highlight w:val="none"/>
        </w:rPr>
      </w:pPr>
      <w:r>
        <w:rPr>
          <w:rFonts w:hint="eastAsia"/>
          <w:highlight w:val="none"/>
        </w:rPr>
        <w:t>1.12.</w:t>
      </w:r>
      <w:r>
        <w:rPr>
          <w:rFonts w:hint="eastAsia" w:ascii="宋体" w:hAnsi="宋体"/>
          <w:spacing w:val="-2"/>
          <w:szCs w:val="24"/>
          <w:highlight w:val="none"/>
        </w:rPr>
        <w:t>5</w:t>
      </w:r>
      <w:r>
        <w:rPr>
          <w:rFonts w:hint="eastAsia"/>
          <w:highlight w:val="none"/>
        </w:rPr>
        <w:t>.2</w:t>
      </w:r>
      <w:r>
        <w:rPr>
          <w:rFonts w:ascii="宋体" w:hAnsi="宋体"/>
          <w:spacing w:val="-2"/>
          <w:szCs w:val="24"/>
          <w:highlight w:val="none"/>
        </w:rPr>
        <w:t>现场仪表的选型要求：</w:t>
      </w:r>
    </w:p>
    <w:p w14:paraId="2CCE1B72">
      <w:pPr>
        <w:spacing w:line="480" w:lineRule="exact"/>
        <w:ind w:firstLine="472"/>
        <w:rPr>
          <w:rFonts w:ascii="宋体" w:hAnsi="宋体"/>
          <w:spacing w:val="-2"/>
          <w:szCs w:val="24"/>
          <w:highlight w:val="none"/>
        </w:rPr>
      </w:pPr>
      <w:r>
        <w:rPr>
          <w:rFonts w:ascii="宋体" w:hAnsi="宋体"/>
          <w:spacing w:val="-2"/>
          <w:szCs w:val="24"/>
          <w:highlight w:val="none"/>
        </w:rPr>
        <w:t>全厂仪表采用先进的数字式仪表；</w:t>
      </w:r>
    </w:p>
    <w:p w14:paraId="2387DCD0">
      <w:pPr>
        <w:spacing w:line="480" w:lineRule="exact"/>
        <w:ind w:firstLine="472"/>
        <w:rPr>
          <w:rFonts w:ascii="宋体" w:hAnsi="宋体"/>
          <w:spacing w:val="-2"/>
          <w:szCs w:val="24"/>
          <w:highlight w:val="none"/>
        </w:rPr>
      </w:pPr>
      <w:r>
        <w:rPr>
          <w:rFonts w:ascii="宋体" w:hAnsi="宋体"/>
          <w:spacing w:val="-2"/>
          <w:szCs w:val="24"/>
          <w:highlight w:val="none"/>
        </w:rPr>
        <w:t>主要检测仪表都需要有就地液晶显示功能；</w:t>
      </w:r>
    </w:p>
    <w:p w14:paraId="2944C42C">
      <w:pPr>
        <w:spacing w:line="480" w:lineRule="exact"/>
        <w:ind w:firstLine="472"/>
        <w:rPr>
          <w:rFonts w:ascii="宋体" w:hAnsi="宋体"/>
          <w:spacing w:val="-2"/>
          <w:szCs w:val="24"/>
          <w:highlight w:val="none"/>
        </w:rPr>
      </w:pPr>
      <w:r>
        <w:rPr>
          <w:rFonts w:ascii="宋体" w:hAnsi="宋体"/>
          <w:spacing w:val="-2"/>
          <w:szCs w:val="24"/>
          <w:highlight w:val="none"/>
        </w:rPr>
        <w:t>现场安装的传感器和变送器必须提供完整坚固的安装固定用支架、保护箱、安装材料及附件。</w:t>
      </w:r>
    </w:p>
    <w:p w14:paraId="4AE3EF8F">
      <w:pPr>
        <w:spacing w:line="480" w:lineRule="exact"/>
        <w:ind w:firstLine="472"/>
        <w:rPr>
          <w:rFonts w:ascii="宋体" w:hAnsi="宋体"/>
          <w:spacing w:val="-2"/>
          <w:szCs w:val="24"/>
          <w:highlight w:val="none"/>
        </w:rPr>
      </w:pPr>
      <w:r>
        <w:rPr>
          <w:rFonts w:ascii="宋体" w:hAnsi="宋体"/>
          <w:spacing w:val="-2"/>
          <w:szCs w:val="24"/>
          <w:highlight w:val="none"/>
        </w:rPr>
        <w:t>现场安装所配套的仪表箱（柜）材质均为不锈钢材质，防腐防潮。</w:t>
      </w:r>
    </w:p>
    <w:p w14:paraId="1736A632">
      <w:pPr>
        <w:spacing w:line="480" w:lineRule="exact"/>
        <w:ind w:firstLine="472"/>
        <w:rPr>
          <w:rFonts w:ascii="宋体" w:hAnsi="宋体"/>
          <w:spacing w:val="-2"/>
          <w:szCs w:val="24"/>
          <w:highlight w:val="none"/>
        </w:rPr>
      </w:pPr>
      <w:r>
        <w:rPr>
          <w:rFonts w:ascii="宋体" w:hAnsi="宋体"/>
          <w:spacing w:val="-2"/>
          <w:szCs w:val="24"/>
          <w:highlight w:val="none"/>
        </w:rPr>
        <w:t>所有现场仪表数据通讯有特殊要求的，均应按要求提供相应的通讯接口设备。</w:t>
      </w:r>
    </w:p>
    <w:p w14:paraId="3F3780DF">
      <w:pPr>
        <w:spacing w:line="480" w:lineRule="exact"/>
        <w:ind w:firstLine="472"/>
        <w:rPr>
          <w:rFonts w:ascii="宋体" w:hAnsi="宋体"/>
          <w:spacing w:val="-2"/>
          <w:szCs w:val="24"/>
          <w:highlight w:val="none"/>
        </w:rPr>
      </w:pPr>
      <w:r>
        <w:rPr>
          <w:rFonts w:ascii="宋体" w:hAnsi="宋体"/>
          <w:spacing w:val="-2"/>
          <w:szCs w:val="24"/>
          <w:highlight w:val="none"/>
        </w:rPr>
        <w:t>本项目装置区域内易燃易爆区域，现场仪表选用防爆型。</w:t>
      </w:r>
    </w:p>
    <w:p w14:paraId="101DE0C9">
      <w:pPr>
        <w:spacing w:line="480" w:lineRule="exact"/>
        <w:ind w:firstLine="472"/>
        <w:rPr>
          <w:rFonts w:ascii="宋体" w:hAnsi="宋体"/>
          <w:spacing w:val="-2"/>
          <w:szCs w:val="24"/>
          <w:highlight w:val="none"/>
        </w:rPr>
      </w:pPr>
      <w:r>
        <w:rPr>
          <w:rFonts w:ascii="宋体" w:hAnsi="宋体"/>
          <w:spacing w:val="-2"/>
          <w:szCs w:val="24"/>
          <w:highlight w:val="none"/>
        </w:rPr>
        <w:t>仪表种类主要包括：温度计、压力表、压力变送器、液位变送器、流量计、可燃气体检测器等。</w:t>
      </w:r>
    </w:p>
    <w:p w14:paraId="265283E2">
      <w:pPr>
        <w:spacing w:line="480" w:lineRule="exact"/>
        <w:ind w:firstLine="472"/>
        <w:rPr>
          <w:rFonts w:ascii="宋体" w:hAnsi="宋体"/>
          <w:spacing w:val="-2"/>
          <w:szCs w:val="24"/>
          <w:highlight w:val="none"/>
        </w:rPr>
      </w:pPr>
      <w:r>
        <w:rPr>
          <w:rFonts w:ascii="宋体" w:hAnsi="宋体"/>
          <w:spacing w:val="-2"/>
          <w:szCs w:val="24"/>
          <w:highlight w:val="none"/>
        </w:rPr>
        <w:t>一般情况下采用标准传输信号。即仪表传输信号为 4～20mA D.C，两线制；其它特殊用途的仪表，亦可根据现场需求采用其它信号。</w:t>
      </w:r>
    </w:p>
    <w:p w14:paraId="77B33CA5">
      <w:pPr>
        <w:spacing w:line="480" w:lineRule="exact"/>
        <w:ind w:firstLine="472"/>
        <w:rPr>
          <w:rFonts w:ascii="宋体" w:hAnsi="宋体"/>
          <w:spacing w:val="-2"/>
          <w:szCs w:val="24"/>
          <w:highlight w:val="none"/>
        </w:rPr>
      </w:pPr>
      <w:r>
        <w:rPr>
          <w:rFonts w:ascii="宋体" w:hAnsi="宋体"/>
          <w:spacing w:val="-2"/>
          <w:szCs w:val="24"/>
          <w:highlight w:val="none"/>
        </w:rPr>
        <w:t>所有现场安装的电子式仪表选用防护型仪表。</w:t>
      </w:r>
    </w:p>
    <w:p w14:paraId="68FE83DA">
      <w:pPr>
        <w:spacing w:line="480" w:lineRule="exact"/>
        <w:ind w:firstLine="480"/>
        <w:rPr>
          <w:rFonts w:ascii="宋体" w:hAnsi="宋体"/>
          <w:spacing w:val="-2"/>
          <w:szCs w:val="24"/>
          <w:highlight w:val="none"/>
        </w:rPr>
      </w:pPr>
      <w:r>
        <w:rPr>
          <w:rFonts w:hint="eastAsia"/>
          <w:highlight w:val="none"/>
        </w:rPr>
        <w:t>1.12.</w:t>
      </w:r>
      <w:r>
        <w:rPr>
          <w:rFonts w:hint="eastAsia" w:ascii="宋体" w:hAnsi="宋体"/>
          <w:spacing w:val="-2"/>
          <w:szCs w:val="24"/>
          <w:highlight w:val="none"/>
        </w:rPr>
        <w:t>5</w:t>
      </w:r>
      <w:r>
        <w:rPr>
          <w:rFonts w:hint="eastAsia"/>
          <w:highlight w:val="none"/>
        </w:rPr>
        <w:t>.3</w:t>
      </w:r>
      <w:r>
        <w:rPr>
          <w:rFonts w:ascii="宋体" w:hAnsi="宋体"/>
          <w:spacing w:val="-2"/>
          <w:szCs w:val="24"/>
          <w:highlight w:val="none"/>
        </w:rPr>
        <w:t xml:space="preserve">仪表选型 </w:t>
      </w:r>
    </w:p>
    <w:p w14:paraId="43C9101E">
      <w:pPr>
        <w:spacing w:line="480" w:lineRule="exact"/>
        <w:ind w:firstLine="472"/>
        <w:rPr>
          <w:rFonts w:ascii="宋体" w:hAnsi="宋体"/>
          <w:spacing w:val="-2"/>
          <w:szCs w:val="24"/>
          <w:highlight w:val="none"/>
        </w:rPr>
      </w:pPr>
      <w:r>
        <w:rPr>
          <w:rFonts w:ascii="宋体" w:hAnsi="宋体"/>
          <w:spacing w:val="-2"/>
          <w:szCs w:val="24"/>
          <w:highlight w:val="none"/>
        </w:rPr>
        <w:t>压力仪表：投标人提供的所有压力（差压）变送器应为带液晶显示表头的智能变送器，精度至少达到0.</w:t>
      </w:r>
      <w:r>
        <w:rPr>
          <w:rFonts w:hint="eastAsia" w:ascii="宋体" w:hAnsi="宋体"/>
          <w:spacing w:val="-2"/>
          <w:szCs w:val="24"/>
          <w:highlight w:val="none"/>
        </w:rPr>
        <w:t>5</w:t>
      </w:r>
      <w:r>
        <w:rPr>
          <w:rFonts w:ascii="宋体" w:hAnsi="宋体"/>
          <w:spacing w:val="-2"/>
          <w:szCs w:val="24"/>
          <w:highlight w:val="none"/>
        </w:rPr>
        <w:t>级。外壳防护等级达到IP65标准。过程连接口宜采用外螺纹连接方式，所有过程连接口必须带有堵头。</w:t>
      </w:r>
    </w:p>
    <w:p w14:paraId="3681011F">
      <w:pPr>
        <w:spacing w:line="480" w:lineRule="exact"/>
        <w:ind w:firstLine="472"/>
        <w:rPr>
          <w:rFonts w:ascii="宋体" w:hAnsi="宋体"/>
          <w:spacing w:val="-2"/>
          <w:szCs w:val="24"/>
          <w:highlight w:val="none"/>
        </w:rPr>
      </w:pPr>
      <w:r>
        <w:rPr>
          <w:rFonts w:ascii="宋体" w:hAnsi="宋体"/>
          <w:spacing w:val="-2"/>
          <w:szCs w:val="24"/>
          <w:highlight w:val="none"/>
        </w:rPr>
        <w:t>流量仪表：</w:t>
      </w:r>
      <w:r>
        <w:rPr>
          <w:rFonts w:hint="eastAsia" w:ascii="宋体" w:hAnsi="宋体"/>
          <w:spacing w:val="-2"/>
          <w:szCs w:val="24"/>
          <w:highlight w:val="none"/>
        </w:rPr>
        <w:t>易腐</w:t>
      </w:r>
      <w:r>
        <w:rPr>
          <w:rFonts w:ascii="宋体" w:hAnsi="宋体"/>
          <w:spacing w:val="-2"/>
          <w:szCs w:val="24"/>
          <w:highlight w:val="none"/>
        </w:rPr>
        <w:t>浆料、污水介质选用电磁流量计。液位测量：投标人提供的所有液位变送器为带液晶显示表头，静压液位计、超声波液位计为主，精度至少达到 0.</w:t>
      </w:r>
      <w:r>
        <w:rPr>
          <w:rFonts w:hint="eastAsia" w:ascii="宋体" w:hAnsi="宋体"/>
          <w:spacing w:val="-2"/>
          <w:szCs w:val="24"/>
          <w:highlight w:val="none"/>
        </w:rPr>
        <w:t>5</w:t>
      </w:r>
      <w:r>
        <w:rPr>
          <w:rFonts w:ascii="宋体" w:hAnsi="宋体"/>
          <w:spacing w:val="-2"/>
          <w:szCs w:val="24"/>
          <w:highlight w:val="none"/>
        </w:rPr>
        <w:t>级。</w:t>
      </w:r>
    </w:p>
    <w:p w14:paraId="55C6DD73">
      <w:pPr>
        <w:spacing w:line="480" w:lineRule="exact"/>
        <w:ind w:firstLine="472"/>
        <w:rPr>
          <w:rFonts w:ascii="宋体" w:hAnsi="宋体"/>
          <w:spacing w:val="-2"/>
          <w:szCs w:val="24"/>
          <w:highlight w:val="none"/>
        </w:rPr>
      </w:pPr>
      <w:r>
        <w:rPr>
          <w:rFonts w:ascii="宋体" w:hAnsi="宋体"/>
          <w:spacing w:val="-2"/>
          <w:szCs w:val="24"/>
          <w:highlight w:val="none"/>
        </w:rPr>
        <w:t>分析仪表：投标人提供的所有的分析仪表均采用流通式仪表，变送器带就地显示。并负责现场调试，直到投入正常运行。</w:t>
      </w:r>
    </w:p>
    <w:p w14:paraId="54B11A32">
      <w:pPr>
        <w:spacing w:line="480" w:lineRule="exact"/>
        <w:ind w:firstLine="472"/>
        <w:rPr>
          <w:rFonts w:ascii="宋体" w:hAnsi="宋体"/>
          <w:spacing w:val="-2"/>
          <w:szCs w:val="24"/>
          <w:highlight w:val="none"/>
        </w:rPr>
      </w:pPr>
      <w:r>
        <w:rPr>
          <w:rFonts w:ascii="宋体" w:hAnsi="宋体"/>
          <w:spacing w:val="-2"/>
          <w:szCs w:val="24"/>
          <w:highlight w:val="none"/>
        </w:rPr>
        <w:t>在振动和脉动场合，应采用抗振型仪表。</w:t>
      </w:r>
    </w:p>
    <w:p w14:paraId="2F6F45EB">
      <w:pPr>
        <w:spacing w:line="480" w:lineRule="exact"/>
        <w:ind w:firstLine="480"/>
        <w:rPr>
          <w:rFonts w:ascii="宋体" w:hAnsi="宋体"/>
          <w:spacing w:val="-2"/>
          <w:szCs w:val="24"/>
          <w:highlight w:val="none"/>
        </w:rPr>
      </w:pPr>
      <w:r>
        <w:rPr>
          <w:rFonts w:hint="eastAsia"/>
          <w:highlight w:val="none"/>
        </w:rPr>
        <w:t>1.12.</w:t>
      </w:r>
      <w:r>
        <w:rPr>
          <w:rFonts w:hint="eastAsia" w:ascii="宋体" w:hAnsi="宋体"/>
          <w:spacing w:val="-2"/>
          <w:szCs w:val="24"/>
          <w:highlight w:val="none"/>
        </w:rPr>
        <w:t>5</w:t>
      </w:r>
      <w:r>
        <w:rPr>
          <w:rFonts w:hint="eastAsia"/>
          <w:highlight w:val="none"/>
        </w:rPr>
        <w:t>.4</w:t>
      </w:r>
      <w:r>
        <w:rPr>
          <w:rFonts w:ascii="宋体" w:hAnsi="宋体"/>
          <w:spacing w:val="-2"/>
          <w:szCs w:val="24"/>
          <w:highlight w:val="none"/>
        </w:rPr>
        <w:t>控制柜、接线盒的要求</w:t>
      </w:r>
    </w:p>
    <w:p w14:paraId="073D5B55">
      <w:pPr>
        <w:spacing w:line="480" w:lineRule="exact"/>
        <w:ind w:firstLine="472"/>
        <w:rPr>
          <w:rFonts w:ascii="宋体" w:hAnsi="宋体"/>
          <w:spacing w:val="-2"/>
          <w:szCs w:val="24"/>
          <w:highlight w:val="none"/>
        </w:rPr>
      </w:pPr>
      <w:r>
        <w:rPr>
          <w:rFonts w:ascii="宋体" w:hAnsi="宋体"/>
          <w:spacing w:val="-2"/>
          <w:szCs w:val="24"/>
          <w:highlight w:val="none"/>
        </w:rPr>
        <w:t>投标人提供的盘柜和接线盒，应为安装在它们内部或上面的设备提供环境保 护。即能防尘、防滴水、防潮、防昆虫及啮齿动物，又能耐指定的高、低温度以及支 承结构的振动。盘柜、接线盒室内安装应符合 IP3X 及以上的标准，室外安装的箱应 符合 IP65 及以上的标准。外壳颜色将按照招标人的要求进行喷涂，表面喷塑，亚光， 满足主厂统一要求。盘柜的颜色和外形尺寸在设计联络会上确定。</w:t>
      </w:r>
    </w:p>
    <w:p w14:paraId="71475CA9">
      <w:pPr>
        <w:spacing w:line="480" w:lineRule="exact"/>
        <w:ind w:firstLine="472"/>
        <w:rPr>
          <w:rFonts w:ascii="宋体" w:hAnsi="宋体"/>
          <w:spacing w:val="-2"/>
          <w:szCs w:val="24"/>
          <w:highlight w:val="none"/>
        </w:rPr>
      </w:pPr>
      <w:r>
        <w:rPr>
          <w:rFonts w:ascii="宋体" w:hAnsi="宋体"/>
          <w:spacing w:val="-2"/>
          <w:szCs w:val="24"/>
          <w:highlight w:val="none"/>
        </w:rPr>
        <w:t>盘柜和接线盒的设计，材料选择和工艺应使其内、外表面光滑整洁，没有焊 接、铆钉或外侧出现的螺栓头，整个外表面端正光滑。</w:t>
      </w:r>
    </w:p>
    <w:p w14:paraId="5DD5156B">
      <w:pPr>
        <w:spacing w:line="480" w:lineRule="exact"/>
        <w:ind w:firstLine="472"/>
        <w:rPr>
          <w:rFonts w:ascii="宋体" w:hAnsi="宋体"/>
          <w:spacing w:val="-2"/>
          <w:szCs w:val="24"/>
          <w:highlight w:val="none"/>
        </w:rPr>
      </w:pPr>
      <w:r>
        <w:rPr>
          <w:rFonts w:ascii="宋体" w:hAnsi="宋体"/>
          <w:spacing w:val="-2"/>
          <w:szCs w:val="24"/>
          <w:highlight w:val="none"/>
        </w:rPr>
        <w:t>投标人提供的盘柜和接线盒的前后门应有永久牢固的标牌。</w:t>
      </w:r>
    </w:p>
    <w:p w14:paraId="379D45DA">
      <w:pPr>
        <w:spacing w:line="480" w:lineRule="exact"/>
        <w:ind w:firstLine="472"/>
        <w:rPr>
          <w:rFonts w:ascii="宋体" w:hAnsi="宋体"/>
          <w:spacing w:val="-2"/>
          <w:szCs w:val="24"/>
          <w:highlight w:val="none"/>
        </w:rPr>
      </w:pPr>
      <w:r>
        <w:rPr>
          <w:rFonts w:ascii="宋体" w:hAnsi="宋体"/>
          <w:spacing w:val="-2"/>
          <w:szCs w:val="24"/>
          <w:highlight w:val="none"/>
        </w:rPr>
        <w:t>盘柜和接线盒有足够的强度能经受住搬运、安装产生的所有应力，保证不变 形；盘柜和接线盒内的支撑件有足够的强度，保证不变形。</w:t>
      </w:r>
    </w:p>
    <w:p w14:paraId="6690FEE2">
      <w:pPr>
        <w:spacing w:line="480" w:lineRule="exact"/>
        <w:ind w:firstLine="472"/>
        <w:rPr>
          <w:rFonts w:ascii="宋体" w:hAnsi="宋体"/>
          <w:spacing w:val="-2"/>
          <w:szCs w:val="24"/>
          <w:highlight w:val="none"/>
        </w:rPr>
      </w:pPr>
      <w:r>
        <w:rPr>
          <w:rFonts w:ascii="宋体" w:hAnsi="宋体"/>
          <w:spacing w:val="-2"/>
          <w:szCs w:val="24"/>
          <w:highlight w:val="none"/>
        </w:rPr>
        <w:t>墙挂式箱高度不应超过 1200mm。</w:t>
      </w:r>
    </w:p>
    <w:p w14:paraId="40E98219">
      <w:pPr>
        <w:spacing w:line="480" w:lineRule="exact"/>
        <w:ind w:firstLine="472"/>
        <w:rPr>
          <w:rFonts w:ascii="宋体" w:hAnsi="宋体"/>
          <w:spacing w:val="-2"/>
          <w:szCs w:val="24"/>
          <w:highlight w:val="none"/>
        </w:rPr>
      </w:pPr>
      <w:r>
        <w:rPr>
          <w:rFonts w:ascii="宋体" w:hAnsi="宋体"/>
          <w:spacing w:val="-2"/>
          <w:szCs w:val="24"/>
          <w:highlight w:val="none"/>
        </w:rPr>
        <w:t>所有金属结构件应牢固地接到结构内指定的接地母线上。</w:t>
      </w:r>
    </w:p>
    <w:p w14:paraId="170B9AE1">
      <w:pPr>
        <w:spacing w:line="480" w:lineRule="exact"/>
        <w:ind w:firstLine="472"/>
        <w:rPr>
          <w:rFonts w:ascii="宋体" w:hAnsi="宋体"/>
          <w:spacing w:val="-2"/>
          <w:szCs w:val="24"/>
          <w:highlight w:val="none"/>
        </w:rPr>
      </w:pPr>
      <w:r>
        <w:rPr>
          <w:rFonts w:ascii="宋体" w:hAnsi="宋体"/>
          <w:spacing w:val="-2"/>
          <w:szCs w:val="24"/>
          <w:highlight w:val="none"/>
        </w:rPr>
        <w:t>盘柜和接线盒应保证运行时内部温度不超过设备允许温度的极限值。如盘柜 和接线盒内仅靠自然通风会引起封闭件超温或误动作，则应提供强迫通风或冷却装 置。</w:t>
      </w:r>
    </w:p>
    <w:p w14:paraId="697BD886">
      <w:pPr>
        <w:spacing w:line="480" w:lineRule="exact"/>
        <w:ind w:firstLine="472"/>
        <w:rPr>
          <w:rFonts w:ascii="宋体" w:hAnsi="宋体"/>
          <w:spacing w:val="-2"/>
          <w:szCs w:val="24"/>
          <w:highlight w:val="none"/>
        </w:rPr>
      </w:pPr>
      <w:r>
        <w:rPr>
          <w:rFonts w:ascii="宋体" w:hAnsi="宋体"/>
          <w:spacing w:val="-2"/>
          <w:szCs w:val="24"/>
          <w:highlight w:val="none"/>
        </w:rPr>
        <w:t>由投标人提供的盘柜和接线盒内应预留充足的空间，能方便地接线、汇线和 布线；机柜内的端子排应布置在易于安装接线的地方，都是下进线。所有接线端子柜 合理配置电缆布线空间，确保所有电缆接线完成后柜和接线盒内仍留有 15%的富余端子。</w:t>
      </w:r>
    </w:p>
    <w:p w14:paraId="16EC5913">
      <w:pPr>
        <w:spacing w:line="480" w:lineRule="exact"/>
        <w:ind w:firstLine="472"/>
        <w:rPr>
          <w:rFonts w:ascii="宋体" w:hAnsi="宋体"/>
          <w:spacing w:val="-2"/>
          <w:szCs w:val="24"/>
          <w:highlight w:val="none"/>
        </w:rPr>
      </w:pPr>
      <w:r>
        <w:rPr>
          <w:rFonts w:ascii="宋体" w:hAnsi="宋体"/>
          <w:spacing w:val="-2"/>
          <w:szCs w:val="24"/>
          <w:highlight w:val="none"/>
        </w:rPr>
        <w:t>盘柜和接线盒内每个设备、端子排、端子、线头均有明显的标记，标志不脱 落、不褪色，以使招标人能够方便地识别，端子应能接受 2.5mm2 的电线。</w:t>
      </w:r>
    </w:p>
    <w:p w14:paraId="4F7416D0">
      <w:pPr>
        <w:spacing w:line="480" w:lineRule="exact"/>
        <w:ind w:firstLine="472"/>
        <w:rPr>
          <w:rFonts w:ascii="宋体" w:hAnsi="宋体"/>
          <w:spacing w:val="-2"/>
          <w:szCs w:val="24"/>
          <w:highlight w:val="none"/>
        </w:rPr>
      </w:pPr>
      <w:r>
        <w:rPr>
          <w:rFonts w:ascii="宋体" w:hAnsi="宋体"/>
          <w:spacing w:val="-2"/>
          <w:szCs w:val="24"/>
          <w:highlight w:val="none"/>
        </w:rPr>
        <w:t>对于就地盘、箱、柜，内部应提供有 220VAC 照明灯和标准插座。</w:t>
      </w:r>
    </w:p>
    <w:p w14:paraId="11A27946">
      <w:pPr>
        <w:pStyle w:val="103"/>
        <w:numPr>
          <w:ilvl w:val="2"/>
          <w:numId w:val="0"/>
        </w:numPr>
        <w:spacing w:line="480" w:lineRule="exact"/>
        <w:ind w:firstLine="482" w:firstLineChars="200"/>
        <w:rPr>
          <w:highlight w:val="none"/>
        </w:rPr>
      </w:pPr>
      <w:r>
        <w:rPr>
          <w:rFonts w:hint="eastAsia"/>
          <w:highlight w:val="none"/>
        </w:rPr>
        <w:t>1.13维修设备</w:t>
      </w:r>
    </w:p>
    <w:tbl>
      <w:tblPr>
        <w:tblStyle w:val="42"/>
        <w:tblW w:w="8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843"/>
        <w:gridCol w:w="3615"/>
        <w:gridCol w:w="992"/>
        <w:gridCol w:w="850"/>
      </w:tblGrid>
      <w:tr w14:paraId="4F6B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779" w:type="dxa"/>
            <w:shd w:val="clear" w:color="auto" w:fill="auto"/>
            <w:noWrap/>
            <w:vAlign w:val="center"/>
          </w:tcPr>
          <w:p w14:paraId="441EF2E7">
            <w:pPr>
              <w:pStyle w:val="121"/>
              <w:spacing w:line="480" w:lineRule="exact"/>
              <w:rPr>
                <w:highlight w:val="none"/>
              </w:rPr>
            </w:pPr>
            <w:r>
              <w:rPr>
                <w:rFonts w:hint="eastAsia"/>
                <w:highlight w:val="none"/>
              </w:rPr>
              <w:t>序号</w:t>
            </w:r>
          </w:p>
        </w:tc>
        <w:tc>
          <w:tcPr>
            <w:tcW w:w="1843" w:type="dxa"/>
            <w:shd w:val="clear" w:color="auto" w:fill="auto"/>
            <w:noWrap/>
            <w:vAlign w:val="center"/>
          </w:tcPr>
          <w:p w14:paraId="0C844C7D">
            <w:pPr>
              <w:pStyle w:val="121"/>
              <w:spacing w:line="480" w:lineRule="exact"/>
              <w:rPr>
                <w:highlight w:val="none"/>
              </w:rPr>
            </w:pPr>
            <w:r>
              <w:rPr>
                <w:rFonts w:hint="eastAsia"/>
                <w:highlight w:val="none"/>
              </w:rPr>
              <w:t>名称</w:t>
            </w:r>
          </w:p>
        </w:tc>
        <w:tc>
          <w:tcPr>
            <w:tcW w:w="3615" w:type="dxa"/>
            <w:shd w:val="clear" w:color="auto" w:fill="auto"/>
          </w:tcPr>
          <w:p w14:paraId="22D4FE2B">
            <w:pPr>
              <w:pStyle w:val="121"/>
              <w:spacing w:line="480" w:lineRule="exact"/>
              <w:rPr>
                <w:highlight w:val="none"/>
              </w:rPr>
            </w:pPr>
            <w:r>
              <w:rPr>
                <w:rFonts w:hint="eastAsia"/>
                <w:highlight w:val="none"/>
              </w:rPr>
              <w:t>规格型号</w:t>
            </w:r>
          </w:p>
        </w:tc>
        <w:tc>
          <w:tcPr>
            <w:tcW w:w="992" w:type="dxa"/>
            <w:shd w:val="clear" w:color="auto" w:fill="auto"/>
            <w:noWrap/>
            <w:vAlign w:val="center"/>
          </w:tcPr>
          <w:p w14:paraId="7906CA81">
            <w:pPr>
              <w:pStyle w:val="121"/>
              <w:spacing w:line="480" w:lineRule="exact"/>
              <w:rPr>
                <w:highlight w:val="none"/>
              </w:rPr>
            </w:pPr>
            <w:r>
              <w:rPr>
                <w:rFonts w:hint="eastAsia"/>
                <w:highlight w:val="none"/>
              </w:rPr>
              <w:t>数量</w:t>
            </w:r>
          </w:p>
        </w:tc>
        <w:tc>
          <w:tcPr>
            <w:tcW w:w="850" w:type="dxa"/>
            <w:shd w:val="clear" w:color="auto" w:fill="auto"/>
            <w:vAlign w:val="center"/>
          </w:tcPr>
          <w:p w14:paraId="175544FA">
            <w:pPr>
              <w:pStyle w:val="121"/>
              <w:spacing w:line="480" w:lineRule="exact"/>
              <w:rPr>
                <w:highlight w:val="none"/>
              </w:rPr>
            </w:pPr>
            <w:r>
              <w:rPr>
                <w:rFonts w:hint="eastAsia"/>
                <w:highlight w:val="none"/>
              </w:rPr>
              <w:t>单位</w:t>
            </w:r>
          </w:p>
        </w:tc>
      </w:tr>
      <w:tr w14:paraId="1CA0E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279D5D64">
            <w:pPr>
              <w:pStyle w:val="121"/>
              <w:spacing w:line="480" w:lineRule="exact"/>
              <w:rPr>
                <w:highlight w:val="none"/>
              </w:rPr>
            </w:pPr>
            <w:r>
              <w:rPr>
                <w:rFonts w:hint="eastAsia"/>
                <w:highlight w:val="none"/>
              </w:rPr>
              <w:t>1</w:t>
            </w:r>
          </w:p>
        </w:tc>
        <w:tc>
          <w:tcPr>
            <w:tcW w:w="1843" w:type="dxa"/>
            <w:shd w:val="clear" w:color="auto" w:fill="auto"/>
            <w:vAlign w:val="center"/>
          </w:tcPr>
          <w:p w14:paraId="1D39A093">
            <w:pPr>
              <w:pStyle w:val="121"/>
              <w:spacing w:line="480" w:lineRule="exact"/>
              <w:rPr>
                <w:highlight w:val="none"/>
              </w:rPr>
            </w:pPr>
            <w:r>
              <w:rPr>
                <w:rFonts w:hint="eastAsia"/>
                <w:highlight w:val="none"/>
                <w:shd w:val="clear" w:color="FFFFFF" w:fill="auto"/>
              </w:rPr>
              <w:t>直流电焊机</w:t>
            </w:r>
          </w:p>
        </w:tc>
        <w:tc>
          <w:tcPr>
            <w:tcW w:w="3615" w:type="dxa"/>
            <w:shd w:val="clear" w:color="auto" w:fill="auto"/>
            <w:vAlign w:val="center"/>
          </w:tcPr>
          <w:p w14:paraId="3BB17BAF">
            <w:pPr>
              <w:pStyle w:val="121"/>
              <w:spacing w:line="480" w:lineRule="exact"/>
              <w:rPr>
                <w:highlight w:val="none"/>
              </w:rPr>
            </w:pPr>
            <w:r>
              <w:rPr>
                <w:rFonts w:hint="eastAsia"/>
                <w:highlight w:val="none"/>
              </w:rPr>
              <w:t>手提式，最大输出电流2</w:t>
            </w:r>
            <w:r>
              <w:rPr>
                <w:highlight w:val="none"/>
              </w:rPr>
              <w:t>5</w:t>
            </w:r>
            <w:r>
              <w:rPr>
                <w:rFonts w:hint="eastAsia"/>
                <w:highlight w:val="none"/>
              </w:rPr>
              <w:t>0A</w:t>
            </w:r>
          </w:p>
        </w:tc>
        <w:tc>
          <w:tcPr>
            <w:tcW w:w="992" w:type="dxa"/>
            <w:shd w:val="clear" w:color="auto" w:fill="auto"/>
            <w:vAlign w:val="center"/>
          </w:tcPr>
          <w:p w14:paraId="2016D480">
            <w:pPr>
              <w:pStyle w:val="121"/>
              <w:spacing w:line="480" w:lineRule="exact"/>
              <w:rPr>
                <w:highlight w:val="none"/>
              </w:rPr>
            </w:pPr>
            <w:r>
              <w:rPr>
                <w:rFonts w:hint="eastAsia"/>
                <w:highlight w:val="none"/>
              </w:rPr>
              <w:t>台</w:t>
            </w:r>
          </w:p>
        </w:tc>
        <w:tc>
          <w:tcPr>
            <w:tcW w:w="850" w:type="dxa"/>
            <w:shd w:val="clear" w:color="auto" w:fill="auto"/>
            <w:vAlign w:val="center"/>
          </w:tcPr>
          <w:p w14:paraId="5EDE6067">
            <w:pPr>
              <w:pStyle w:val="121"/>
              <w:spacing w:line="480" w:lineRule="exact"/>
              <w:rPr>
                <w:highlight w:val="none"/>
              </w:rPr>
            </w:pPr>
            <w:r>
              <w:rPr>
                <w:rFonts w:hint="eastAsia"/>
                <w:highlight w:val="none"/>
              </w:rPr>
              <w:t>1</w:t>
            </w:r>
          </w:p>
        </w:tc>
      </w:tr>
      <w:tr w14:paraId="5477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76570A6F">
            <w:pPr>
              <w:pStyle w:val="121"/>
              <w:spacing w:line="480" w:lineRule="exact"/>
              <w:rPr>
                <w:highlight w:val="none"/>
              </w:rPr>
            </w:pPr>
            <w:r>
              <w:rPr>
                <w:rFonts w:hint="eastAsia"/>
                <w:highlight w:val="none"/>
              </w:rPr>
              <w:t>2</w:t>
            </w:r>
          </w:p>
        </w:tc>
        <w:tc>
          <w:tcPr>
            <w:tcW w:w="1843" w:type="dxa"/>
            <w:shd w:val="clear" w:color="auto" w:fill="auto"/>
            <w:vAlign w:val="center"/>
          </w:tcPr>
          <w:p w14:paraId="7A60C0C3">
            <w:pPr>
              <w:pStyle w:val="121"/>
              <w:spacing w:line="480" w:lineRule="exact"/>
              <w:rPr>
                <w:highlight w:val="none"/>
              </w:rPr>
            </w:pPr>
            <w:r>
              <w:rPr>
                <w:rFonts w:hint="eastAsia"/>
                <w:highlight w:val="none"/>
              </w:rPr>
              <w:t>液压卧式千斤顶</w:t>
            </w:r>
          </w:p>
        </w:tc>
        <w:tc>
          <w:tcPr>
            <w:tcW w:w="3615" w:type="dxa"/>
            <w:shd w:val="clear" w:color="auto" w:fill="auto"/>
            <w:vAlign w:val="center"/>
          </w:tcPr>
          <w:p w14:paraId="47C33B72">
            <w:pPr>
              <w:pStyle w:val="121"/>
              <w:spacing w:line="480" w:lineRule="exact"/>
              <w:rPr>
                <w:highlight w:val="none"/>
              </w:rPr>
            </w:pPr>
            <w:r>
              <w:rPr>
                <w:rFonts w:hint="eastAsia"/>
                <w:highlight w:val="none"/>
              </w:rPr>
              <w:t>10T</w:t>
            </w:r>
          </w:p>
        </w:tc>
        <w:tc>
          <w:tcPr>
            <w:tcW w:w="992" w:type="dxa"/>
            <w:shd w:val="clear" w:color="auto" w:fill="auto"/>
            <w:vAlign w:val="center"/>
          </w:tcPr>
          <w:p w14:paraId="6137CF39">
            <w:pPr>
              <w:pStyle w:val="121"/>
              <w:spacing w:line="480" w:lineRule="exact"/>
              <w:rPr>
                <w:highlight w:val="none"/>
              </w:rPr>
            </w:pPr>
            <w:r>
              <w:rPr>
                <w:rFonts w:hint="eastAsia"/>
                <w:highlight w:val="none"/>
              </w:rPr>
              <w:t>件</w:t>
            </w:r>
          </w:p>
        </w:tc>
        <w:tc>
          <w:tcPr>
            <w:tcW w:w="850" w:type="dxa"/>
            <w:shd w:val="clear" w:color="auto" w:fill="auto"/>
            <w:vAlign w:val="center"/>
          </w:tcPr>
          <w:p w14:paraId="00594BDE">
            <w:pPr>
              <w:pStyle w:val="121"/>
              <w:spacing w:line="480" w:lineRule="exact"/>
              <w:rPr>
                <w:highlight w:val="none"/>
              </w:rPr>
            </w:pPr>
            <w:r>
              <w:rPr>
                <w:rFonts w:hint="eastAsia"/>
                <w:highlight w:val="none"/>
              </w:rPr>
              <w:t>1</w:t>
            </w:r>
          </w:p>
        </w:tc>
      </w:tr>
      <w:tr w14:paraId="069C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2CE1B416">
            <w:pPr>
              <w:pStyle w:val="121"/>
              <w:spacing w:line="480" w:lineRule="exact"/>
              <w:rPr>
                <w:highlight w:val="none"/>
              </w:rPr>
            </w:pPr>
            <w:r>
              <w:rPr>
                <w:rFonts w:hint="eastAsia"/>
                <w:highlight w:val="none"/>
              </w:rPr>
              <w:t>3</w:t>
            </w:r>
          </w:p>
        </w:tc>
        <w:tc>
          <w:tcPr>
            <w:tcW w:w="1843" w:type="dxa"/>
            <w:shd w:val="clear" w:color="auto" w:fill="auto"/>
            <w:vAlign w:val="center"/>
          </w:tcPr>
          <w:p w14:paraId="560E9E59">
            <w:pPr>
              <w:pStyle w:val="121"/>
              <w:spacing w:line="480" w:lineRule="exact"/>
              <w:rPr>
                <w:highlight w:val="none"/>
              </w:rPr>
            </w:pPr>
            <w:r>
              <w:rPr>
                <w:rFonts w:hint="eastAsia"/>
                <w:highlight w:val="none"/>
              </w:rPr>
              <w:t>手动葫芦</w:t>
            </w:r>
          </w:p>
        </w:tc>
        <w:tc>
          <w:tcPr>
            <w:tcW w:w="3615" w:type="dxa"/>
            <w:shd w:val="clear" w:color="auto" w:fill="auto"/>
            <w:vAlign w:val="center"/>
          </w:tcPr>
          <w:p w14:paraId="2F2ABCF1">
            <w:pPr>
              <w:pStyle w:val="121"/>
              <w:spacing w:line="480" w:lineRule="exact"/>
              <w:rPr>
                <w:highlight w:val="none"/>
              </w:rPr>
            </w:pPr>
            <w:r>
              <w:rPr>
                <w:rFonts w:hint="eastAsia"/>
                <w:highlight w:val="none"/>
              </w:rPr>
              <w:t>3T</w:t>
            </w:r>
          </w:p>
        </w:tc>
        <w:tc>
          <w:tcPr>
            <w:tcW w:w="992" w:type="dxa"/>
            <w:shd w:val="clear" w:color="auto" w:fill="auto"/>
            <w:vAlign w:val="center"/>
          </w:tcPr>
          <w:p w14:paraId="5ACB391E">
            <w:pPr>
              <w:pStyle w:val="121"/>
              <w:spacing w:line="480" w:lineRule="exact"/>
              <w:rPr>
                <w:highlight w:val="none"/>
              </w:rPr>
            </w:pPr>
            <w:r>
              <w:rPr>
                <w:rFonts w:hint="eastAsia"/>
                <w:highlight w:val="none"/>
              </w:rPr>
              <w:t>件</w:t>
            </w:r>
          </w:p>
        </w:tc>
        <w:tc>
          <w:tcPr>
            <w:tcW w:w="850" w:type="dxa"/>
            <w:shd w:val="clear" w:color="auto" w:fill="auto"/>
            <w:vAlign w:val="center"/>
          </w:tcPr>
          <w:p w14:paraId="788548E0">
            <w:pPr>
              <w:pStyle w:val="121"/>
              <w:spacing w:line="480" w:lineRule="exact"/>
              <w:rPr>
                <w:highlight w:val="none"/>
              </w:rPr>
            </w:pPr>
            <w:r>
              <w:rPr>
                <w:rFonts w:hint="eastAsia"/>
                <w:highlight w:val="none"/>
              </w:rPr>
              <w:t>1</w:t>
            </w:r>
          </w:p>
        </w:tc>
      </w:tr>
      <w:tr w14:paraId="3080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28AECE14">
            <w:pPr>
              <w:pStyle w:val="121"/>
              <w:spacing w:line="480" w:lineRule="exact"/>
              <w:rPr>
                <w:highlight w:val="none"/>
              </w:rPr>
            </w:pPr>
            <w:r>
              <w:rPr>
                <w:rFonts w:hint="eastAsia"/>
                <w:highlight w:val="none"/>
              </w:rPr>
              <w:t>4</w:t>
            </w:r>
          </w:p>
        </w:tc>
        <w:tc>
          <w:tcPr>
            <w:tcW w:w="1843" w:type="dxa"/>
            <w:shd w:val="clear" w:color="auto" w:fill="auto"/>
            <w:vAlign w:val="center"/>
          </w:tcPr>
          <w:p w14:paraId="665A6171">
            <w:pPr>
              <w:pStyle w:val="121"/>
              <w:spacing w:line="480" w:lineRule="exact"/>
              <w:rPr>
                <w:highlight w:val="none"/>
              </w:rPr>
            </w:pPr>
            <w:r>
              <w:rPr>
                <w:rFonts w:hint="eastAsia"/>
                <w:highlight w:val="none"/>
              </w:rPr>
              <w:t>手枪钻</w:t>
            </w:r>
          </w:p>
        </w:tc>
        <w:tc>
          <w:tcPr>
            <w:tcW w:w="3615" w:type="dxa"/>
            <w:shd w:val="clear" w:color="auto" w:fill="auto"/>
            <w:vAlign w:val="center"/>
          </w:tcPr>
          <w:p w14:paraId="762F8641">
            <w:pPr>
              <w:pStyle w:val="121"/>
              <w:spacing w:line="480" w:lineRule="exact"/>
              <w:rPr>
                <w:highlight w:val="none"/>
              </w:rPr>
            </w:pPr>
          </w:p>
        </w:tc>
        <w:tc>
          <w:tcPr>
            <w:tcW w:w="992" w:type="dxa"/>
            <w:shd w:val="clear" w:color="auto" w:fill="auto"/>
            <w:vAlign w:val="center"/>
          </w:tcPr>
          <w:p w14:paraId="1464609C">
            <w:pPr>
              <w:pStyle w:val="121"/>
              <w:spacing w:line="480" w:lineRule="exact"/>
              <w:rPr>
                <w:highlight w:val="none"/>
              </w:rPr>
            </w:pPr>
            <w:r>
              <w:rPr>
                <w:rFonts w:hint="eastAsia"/>
                <w:highlight w:val="none"/>
              </w:rPr>
              <w:t>把</w:t>
            </w:r>
          </w:p>
        </w:tc>
        <w:tc>
          <w:tcPr>
            <w:tcW w:w="850" w:type="dxa"/>
            <w:shd w:val="clear" w:color="auto" w:fill="auto"/>
            <w:vAlign w:val="center"/>
          </w:tcPr>
          <w:p w14:paraId="64719742">
            <w:pPr>
              <w:pStyle w:val="121"/>
              <w:spacing w:line="480" w:lineRule="exact"/>
              <w:rPr>
                <w:highlight w:val="none"/>
              </w:rPr>
            </w:pPr>
            <w:r>
              <w:rPr>
                <w:rFonts w:hint="eastAsia"/>
                <w:highlight w:val="none"/>
              </w:rPr>
              <w:t>1</w:t>
            </w:r>
          </w:p>
        </w:tc>
      </w:tr>
      <w:tr w14:paraId="426D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6EBE7F6A">
            <w:pPr>
              <w:pStyle w:val="121"/>
              <w:spacing w:line="480" w:lineRule="exact"/>
              <w:rPr>
                <w:highlight w:val="none"/>
              </w:rPr>
            </w:pPr>
            <w:r>
              <w:rPr>
                <w:rFonts w:hint="eastAsia"/>
                <w:highlight w:val="none"/>
              </w:rPr>
              <w:t>5</w:t>
            </w:r>
          </w:p>
        </w:tc>
        <w:tc>
          <w:tcPr>
            <w:tcW w:w="1843" w:type="dxa"/>
            <w:shd w:val="clear" w:color="auto" w:fill="auto"/>
            <w:vAlign w:val="center"/>
          </w:tcPr>
          <w:p w14:paraId="65EFB402">
            <w:pPr>
              <w:pStyle w:val="121"/>
              <w:spacing w:line="480" w:lineRule="exact"/>
              <w:rPr>
                <w:highlight w:val="none"/>
              </w:rPr>
            </w:pPr>
            <w:r>
              <w:rPr>
                <w:rFonts w:hint="eastAsia"/>
                <w:highlight w:val="none"/>
              </w:rPr>
              <w:t>拖线盘</w:t>
            </w:r>
          </w:p>
        </w:tc>
        <w:tc>
          <w:tcPr>
            <w:tcW w:w="3615" w:type="dxa"/>
            <w:shd w:val="clear" w:color="auto" w:fill="auto"/>
            <w:vAlign w:val="center"/>
          </w:tcPr>
          <w:p w14:paraId="1F20DB37">
            <w:pPr>
              <w:pStyle w:val="121"/>
              <w:spacing w:line="480" w:lineRule="exact"/>
              <w:rPr>
                <w:highlight w:val="none"/>
              </w:rPr>
            </w:pPr>
            <w:r>
              <w:rPr>
                <w:rFonts w:hint="eastAsia"/>
                <w:highlight w:val="none"/>
              </w:rPr>
              <w:t>220V</w:t>
            </w:r>
          </w:p>
        </w:tc>
        <w:tc>
          <w:tcPr>
            <w:tcW w:w="992" w:type="dxa"/>
            <w:shd w:val="clear" w:color="auto" w:fill="auto"/>
            <w:vAlign w:val="center"/>
          </w:tcPr>
          <w:p w14:paraId="1FE2F9DE">
            <w:pPr>
              <w:pStyle w:val="121"/>
              <w:spacing w:line="480" w:lineRule="exact"/>
              <w:rPr>
                <w:highlight w:val="none"/>
              </w:rPr>
            </w:pPr>
            <w:r>
              <w:rPr>
                <w:rFonts w:hint="eastAsia"/>
                <w:highlight w:val="none"/>
              </w:rPr>
              <w:t>件</w:t>
            </w:r>
          </w:p>
        </w:tc>
        <w:tc>
          <w:tcPr>
            <w:tcW w:w="850" w:type="dxa"/>
            <w:shd w:val="clear" w:color="auto" w:fill="auto"/>
            <w:vAlign w:val="center"/>
          </w:tcPr>
          <w:p w14:paraId="44BF3514">
            <w:pPr>
              <w:pStyle w:val="121"/>
              <w:spacing w:line="480" w:lineRule="exact"/>
              <w:rPr>
                <w:highlight w:val="none"/>
              </w:rPr>
            </w:pPr>
            <w:r>
              <w:rPr>
                <w:rFonts w:hint="eastAsia"/>
                <w:highlight w:val="none"/>
              </w:rPr>
              <w:t>1</w:t>
            </w:r>
          </w:p>
        </w:tc>
      </w:tr>
      <w:tr w14:paraId="09D3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69B435D1">
            <w:pPr>
              <w:pStyle w:val="121"/>
              <w:spacing w:line="480" w:lineRule="exact"/>
              <w:rPr>
                <w:highlight w:val="none"/>
              </w:rPr>
            </w:pPr>
            <w:r>
              <w:rPr>
                <w:rFonts w:hint="eastAsia"/>
                <w:highlight w:val="none"/>
              </w:rPr>
              <w:t>6</w:t>
            </w:r>
          </w:p>
        </w:tc>
        <w:tc>
          <w:tcPr>
            <w:tcW w:w="1843" w:type="dxa"/>
            <w:shd w:val="clear" w:color="auto" w:fill="auto"/>
            <w:vAlign w:val="center"/>
          </w:tcPr>
          <w:p w14:paraId="0E1C3AFD">
            <w:pPr>
              <w:pStyle w:val="121"/>
              <w:spacing w:line="480" w:lineRule="exact"/>
              <w:rPr>
                <w:highlight w:val="none"/>
              </w:rPr>
            </w:pPr>
            <w:r>
              <w:rPr>
                <w:rFonts w:hint="eastAsia"/>
                <w:highlight w:val="none"/>
              </w:rPr>
              <w:t>拖线盘</w:t>
            </w:r>
          </w:p>
        </w:tc>
        <w:tc>
          <w:tcPr>
            <w:tcW w:w="3615" w:type="dxa"/>
            <w:shd w:val="clear" w:color="auto" w:fill="auto"/>
            <w:vAlign w:val="center"/>
          </w:tcPr>
          <w:p w14:paraId="63F6744C">
            <w:pPr>
              <w:pStyle w:val="121"/>
              <w:spacing w:line="480" w:lineRule="exact"/>
              <w:rPr>
                <w:highlight w:val="none"/>
              </w:rPr>
            </w:pPr>
            <w:r>
              <w:rPr>
                <w:rFonts w:hint="eastAsia"/>
                <w:highlight w:val="none"/>
              </w:rPr>
              <w:t>380V</w:t>
            </w:r>
          </w:p>
        </w:tc>
        <w:tc>
          <w:tcPr>
            <w:tcW w:w="992" w:type="dxa"/>
            <w:shd w:val="clear" w:color="auto" w:fill="auto"/>
            <w:vAlign w:val="center"/>
          </w:tcPr>
          <w:p w14:paraId="6045912A">
            <w:pPr>
              <w:pStyle w:val="121"/>
              <w:spacing w:line="480" w:lineRule="exact"/>
              <w:rPr>
                <w:highlight w:val="none"/>
              </w:rPr>
            </w:pPr>
            <w:r>
              <w:rPr>
                <w:rFonts w:hint="eastAsia"/>
                <w:highlight w:val="none"/>
              </w:rPr>
              <w:t>件</w:t>
            </w:r>
          </w:p>
        </w:tc>
        <w:tc>
          <w:tcPr>
            <w:tcW w:w="850" w:type="dxa"/>
            <w:shd w:val="clear" w:color="auto" w:fill="auto"/>
            <w:vAlign w:val="center"/>
          </w:tcPr>
          <w:p w14:paraId="6C7DF428">
            <w:pPr>
              <w:pStyle w:val="121"/>
              <w:spacing w:line="480" w:lineRule="exact"/>
              <w:rPr>
                <w:highlight w:val="none"/>
              </w:rPr>
            </w:pPr>
            <w:r>
              <w:rPr>
                <w:rFonts w:hint="eastAsia"/>
                <w:highlight w:val="none"/>
              </w:rPr>
              <w:t>1</w:t>
            </w:r>
          </w:p>
        </w:tc>
      </w:tr>
      <w:tr w14:paraId="3D3CD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7E145B60">
            <w:pPr>
              <w:pStyle w:val="121"/>
              <w:spacing w:line="480" w:lineRule="exact"/>
              <w:rPr>
                <w:highlight w:val="none"/>
              </w:rPr>
            </w:pPr>
            <w:r>
              <w:rPr>
                <w:rFonts w:hint="eastAsia"/>
                <w:highlight w:val="none"/>
              </w:rPr>
              <w:t>7</w:t>
            </w:r>
          </w:p>
        </w:tc>
        <w:tc>
          <w:tcPr>
            <w:tcW w:w="1843" w:type="dxa"/>
            <w:shd w:val="clear" w:color="auto" w:fill="auto"/>
            <w:vAlign w:val="center"/>
          </w:tcPr>
          <w:p w14:paraId="79127C38">
            <w:pPr>
              <w:pStyle w:val="121"/>
              <w:spacing w:line="480" w:lineRule="exact"/>
              <w:rPr>
                <w:highlight w:val="none"/>
              </w:rPr>
            </w:pPr>
            <w:r>
              <w:rPr>
                <w:rFonts w:hint="eastAsia"/>
                <w:highlight w:val="none"/>
              </w:rPr>
              <w:t>兆欧表</w:t>
            </w:r>
          </w:p>
        </w:tc>
        <w:tc>
          <w:tcPr>
            <w:tcW w:w="3615" w:type="dxa"/>
            <w:shd w:val="clear" w:color="auto" w:fill="auto"/>
            <w:vAlign w:val="center"/>
          </w:tcPr>
          <w:p w14:paraId="4BD029C5">
            <w:pPr>
              <w:pStyle w:val="121"/>
              <w:spacing w:line="480" w:lineRule="exact"/>
              <w:rPr>
                <w:highlight w:val="none"/>
              </w:rPr>
            </w:pPr>
          </w:p>
        </w:tc>
        <w:tc>
          <w:tcPr>
            <w:tcW w:w="992" w:type="dxa"/>
            <w:shd w:val="clear" w:color="auto" w:fill="auto"/>
            <w:vAlign w:val="center"/>
          </w:tcPr>
          <w:p w14:paraId="019C8283">
            <w:pPr>
              <w:pStyle w:val="121"/>
              <w:spacing w:line="480" w:lineRule="exact"/>
              <w:rPr>
                <w:highlight w:val="none"/>
              </w:rPr>
            </w:pPr>
            <w:r>
              <w:rPr>
                <w:rFonts w:hint="eastAsia"/>
                <w:highlight w:val="none"/>
              </w:rPr>
              <w:t>件</w:t>
            </w:r>
          </w:p>
        </w:tc>
        <w:tc>
          <w:tcPr>
            <w:tcW w:w="850" w:type="dxa"/>
            <w:shd w:val="clear" w:color="auto" w:fill="auto"/>
            <w:vAlign w:val="center"/>
          </w:tcPr>
          <w:p w14:paraId="0AC96DE2">
            <w:pPr>
              <w:pStyle w:val="121"/>
              <w:spacing w:line="480" w:lineRule="exact"/>
              <w:rPr>
                <w:highlight w:val="none"/>
              </w:rPr>
            </w:pPr>
            <w:r>
              <w:rPr>
                <w:rFonts w:hint="eastAsia"/>
                <w:highlight w:val="none"/>
              </w:rPr>
              <w:t>1</w:t>
            </w:r>
          </w:p>
        </w:tc>
      </w:tr>
      <w:tr w14:paraId="6668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652C238D">
            <w:pPr>
              <w:pStyle w:val="121"/>
              <w:spacing w:line="480" w:lineRule="exact"/>
              <w:rPr>
                <w:highlight w:val="none"/>
              </w:rPr>
            </w:pPr>
            <w:r>
              <w:rPr>
                <w:rFonts w:hint="eastAsia"/>
                <w:highlight w:val="none"/>
              </w:rPr>
              <w:t>8</w:t>
            </w:r>
          </w:p>
        </w:tc>
        <w:tc>
          <w:tcPr>
            <w:tcW w:w="1843" w:type="dxa"/>
            <w:shd w:val="clear" w:color="auto" w:fill="auto"/>
            <w:vAlign w:val="center"/>
          </w:tcPr>
          <w:p w14:paraId="73D24678">
            <w:pPr>
              <w:pStyle w:val="121"/>
              <w:spacing w:line="480" w:lineRule="exact"/>
              <w:rPr>
                <w:highlight w:val="none"/>
              </w:rPr>
            </w:pPr>
            <w:r>
              <w:rPr>
                <w:rFonts w:hint="eastAsia"/>
                <w:highlight w:val="none"/>
              </w:rPr>
              <w:t>万用表</w:t>
            </w:r>
          </w:p>
        </w:tc>
        <w:tc>
          <w:tcPr>
            <w:tcW w:w="3615" w:type="dxa"/>
            <w:shd w:val="clear" w:color="auto" w:fill="auto"/>
            <w:vAlign w:val="center"/>
          </w:tcPr>
          <w:p w14:paraId="2AF4A415">
            <w:pPr>
              <w:pStyle w:val="121"/>
              <w:spacing w:line="480" w:lineRule="exact"/>
              <w:rPr>
                <w:highlight w:val="none"/>
              </w:rPr>
            </w:pPr>
            <w:r>
              <w:rPr>
                <w:rFonts w:hint="eastAsia"/>
                <w:highlight w:val="none"/>
              </w:rPr>
              <w:t>数字式</w:t>
            </w:r>
          </w:p>
        </w:tc>
        <w:tc>
          <w:tcPr>
            <w:tcW w:w="992" w:type="dxa"/>
            <w:shd w:val="clear" w:color="auto" w:fill="auto"/>
            <w:vAlign w:val="center"/>
          </w:tcPr>
          <w:p w14:paraId="78D77603">
            <w:pPr>
              <w:pStyle w:val="121"/>
              <w:spacing w:line="480" w:lineRule="exact"/>
              <w:rPr>
                <w:highlight w:val="none"/>
              </w:rPr>
            </w:pPr>
            <w:r>
              <w:rPr>
                <w:rFonts w:hint="eastAsia"/>
                <w:highlight w:val="none"/>
              </w:rPr>
              <w:t>件</w:t>
            </w:r>
          </w:p>
        </w:tc>
        <w:tc>
          <w:tcPr>
            <w:tcW w:w="850" w:type="dxa"/>
            <w:shd w:val="clear" w:color="auto" w:fill="auto"/>
            <w:vAlign w:val="center"/>
          </w:tcPr>
          <w:p w14:paraId="46F54781">
            <w:pPr>
              <w:pStyle w:val="121"/>
              <w:spacing w:line="480" w:lineRule="exact"/>
              <w:rPr>
                <w:highlight w:val="none"/>
              </w:rPr>
            </w:pPr>
            <w:r>
              <w:rPr>
                <w:rFonts w:hint="eastAsia"/>
                <w:highlight w:val="none"/>
              </w:rPr>
              <w:t>1</w:t>
            </w:r>
          </w:p>
        </w:tc>
      </w:tr>
      <w:tr w14:paraId="06F4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2FA9C8F4">
            <w:pPr>
              <w:pStyle w:val="121"/>
              <w:spacing w:line="480" w:lineRule="exact"/>
              <w:rPr>
                <w:highlight w:val="none"/>
              </w:rPr>
            </w:pPr>
            <w:r>
              <w:rPr>
                <w:rFonts w:hint="eastAsia"/>
                <w:highlight w:val="none"/>
              </w:rPr>
              <w:t>9</w:t>
            </w:r>
          </w:p>
        </w:tc>
        <w:tc>
          <w:tcPr>
            <w:tcW w:w="1843" w:type="dxa"/>
            <w:shd w:val="clear" w:color="auto" w:fill="auto"/>
            <w:vAlign w:val="center"/>
          </w:tcPr>
          <w:p w14:paraId="296CFB23">
            <w:pPr>
              <w:pStyle w:val="121"/>
              <w:spacing w:line="480" w:lineRule="exact"/>
              <w:rPr>
                <w:szCs w:val="20"/>
                <w:highlight w:val="none"/>
              </w:rPr>
            </w:pPr>
            <w:r>
              <w:rPr>
                <w:rFonts w:hint="eastAsia"/>
                <w:highlight w:val="none"/>
              </w:rPr>
              <w:t>管子钳</w:t>
            </w:r>
          </w:p>
        </w:tc>
        <w:tc>
          <w:tcPr>
            <w:tcW w:w="3615" w:type="dxa"/>
            <w:shd w:val="clear" w:color="auto" w:fill="auto"/>
            <w:vAlign w:val="center"/>
          </w:tcPr>
          <w:p w14:paraId="31849FB2">
            <w:pPr>
              <w:pStyle w:val="121"/>
              <w:spacing w:line="480" w:lineRule="exact"/>
              <w:rPr>
                <w:szCs w:val="20"/>
                <w:highlight w:val="none"/>
              </w:rPr>
            </w:pPr>
            <w:r>
              <w:rPr>
                <w:highlight w:val="none"/>
              </w:rPr>
              <w:t>24</w:t>
            </w:r>
            <w:r>
              <w:rPr>
                <w:rFonts w:hint="eastAsia"/>
                <w:highlight w:val="none"/>
              </w:rPr>
              <w:t>″</w:t>
            </w:r>
          </w:p>
        </w:tc>
        <w:tc>
          <w:tcPr>
            <w:tcW w:w="992" w:type="dxa"/>
            <w:shd w:val="clear" w:color="auto" w:fill="auto"/>
            <w:vAlign w:val="center"/>
          </w:tcPr>
          <w:p w14:paraId="188F9956">
            <w:pPr>
              <w:pStyle w:val="121"/>
              <w:spacing w:line="480" w:lineRule="exact"/>
              <w:rPr>
                <w:szCs w:val="20"/>
                <w:highlight w:val="none"/>
              </w:rPr>
            </w:pPr>
            <w:r>
              <w:rPr>
                <w:rFonts w:hint="eastAsia"/>
                <w:highlight w:val="none"/>
              </w:rPr>
              <w:t>把</w:t>
            </w:r>
          </w:p>
        </w:tc>
        <w:tc>
          <w:tcPr>
            <w:tcW w:w="850" w:type="dxa"/>
            <w:shd w:val="clear" w:color="auto" w:fill="auto"/>
            <w:vAlign w:val="center"/>
          </w:tcPr>
          <w:p w14:paraId="0827DB9A">
            <w:pPr>
              <w:pStyle w:val="121"/>
              <w:spacing w:line="480" w:lineRule="exact"/>
              <w:rPr>
                <w:szCs w:val="20"/>
                <w:highlight w:val="none"/>
              </w:rPr>
            </w:pPr>
            <w:r>
              <w:rPr>
                <w:highlight w:val="none"/>
              </w:rPr>
              <w:t>1</w:t>
            </w:r>
          </w:p>
        </w:tc>
      </w:tr>
      <w:tr w14:paraId="4766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369BA86A">
            <w:pPr>
              <w:pStyle w:val="121"/>
              <w:spacing w:line="480" w:lineRule="exact"/>
              <w:rPr>
                <w:highlight w:val="none"/>
              </w:rPr>
            </w:pPr>
            <w:r>
              <w:rPr>
                <w:rFonts w:hint="eastAsia"/>
                <w:highlight w:val="none"/>
              </w:rPr>
              <w:t>10</w:t>
            </w:r>
          </w:p>
        </w:tc>
        <w:tc>
          <w:tcPr>
            <w:tcW w:w="1843" w:type="dxa"/>
            <w:shd w:val="clear" w:color="auto" w:fill="auto"/>
            <w:vAlign w:val="center"/>
          </w:tcPr>
          <w:p w14:paraId="29282DC7">
            <w:pPr>
              <w:pStyle w:val="121"/>
              <w:spacing w:line="480" w:lineRule="exact"/>
              <w:rPr>
                <w:szCs w:val="20"/>
                <w:highlight w:val="none"/>
              </w:rPr>
            </w:pPr>
            <w:r>
              <w:rPr>
                <w:rFonts w:hint="eastAsia"/>
                <w:highlight w:val="none"/>
              </w:rPr>
              <w:t>扳手</w:t>
            </w:r>
          </w:p>
        </w:tc>
        <w:tc>
          <w:tcPr>
            <w:tcW w:w="3615" w:type="dxa"/>
            <w:shd w:val="clear" w:color="auto" w:fill="auto"/>
            <w:vAlign w:val="center"/>
          </w:tcPr>
          <w:p w14:paraId="424C5492">
            <w:pPr>
              <w:pStyle w:val="121"/>
              <w:spacing w:line="480" w:lineRule="exact"/>
              <w:rPr>
                <w:szCs w:val="20"/>
                <w:highlight w:val="none"/>
              </w:rPr>
            </w:pPr>
            <w:r>
              <w:rPr>
                <w:highlight w:val="none"/>
              </w:rPr>
              <w:t>27</w:t>
            </w:r>
            <w:r>
              <w:rPr>
                <w:rFonts w:hint="eastAsia"/>
                <w:highlight w:val="none"/>
              </w:rPr>
              <w:t>″</w:t>
            </w:r>
          </w:p>
        </w:tc>
        <w:tc>
          <w:tcPr>
            <w:tcW w:w="992" w:type="dxa"/>
            <w:shd w:val="clear" w:color="auto" w:fill="auto"/>
            <w:vAlign w:val="center"/>
          </w:tcPr>
          <w:p w14:paraId="231DD6C1">
            <w:pPr>
              <w:pStyle w:val="121"/>
              <w:spacing w:line="480" w:lineRule="exact"/>
              <w:rPr>
                <w:szCs w:val="20"/>
                <w:highlight w:val="none"/>
              </w:rPr>
            </w:pPr>
            <w:r>
              <w:rPr>
                <w:rFonts w:hint="eastAsia"/>
                <w:highlight w:val="none"/>
              </w:rPr>
              <w:t>把</w:t>
            </w:r>
          </w:p>
        </w:tc>
        <w:tc>
          <w:tcPr>
            <w:tcW w:w="850" w:type="dxa"/>
            <w:shd w:val="clear" w:color="auto" w:fill="auto"/>
            <w:vAlign w:val="center"/>
          </w:tcPr>
          <w:p w14:paraId="4DD40CD4">
            <w:pPr>
              <w:pStyle w:val="121"/>
              <w:spacing w:line="480" w:lineRule="exact"/>
              <w:rPr>
                <w:szCs w:val="20"/>
                <w:highlight w:val="none"/>
              </w:rPr>
            </w:pPr>
            <w:r>
              <w:rPr>
                <w:highlight w:val="none"/>
              </w:rPr>
              <w:t>1</w:t>
            </w:r>
          </w:p>
        </w:tc>
      </w:tr>
      <w:tr w14:paraId="68A9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79" w:type="dxa"/>
            <w:shd w:val="clear" w:color="auto" w:fill="auto"/>
            <w:vAlign w:val="center"/>
          </w:tcPr>
          <w:p w14:paraId="44CED5B5">
            <w:pPr>
              <w:pStyle w:val="121"/>
              <w:spacing w:line="480" w:lineRule="exact"/>
              <w:rPr>
                <w:highlight w:val="none"/>
              </w:rPr>
            </w:pPr>
            <w:r>
              <w:rPr>
                <w:rFonts w:hint="eastAsia"/>
                <w:highlight w:val="none"/>
              </w:rPr>
              <w:t>11</w:t>
            </w:r>
          </w:p>
        </w:tc>
        <w:tc>
          <w:tcPr>
            <w:tcW w:w="1843" w:type="dxa"/>
            <w:shd w:val="clear" w:color="auto" w:fill="auto"/>
            <w:vAlign w:val="center"/>
          </w:tcPr>
          <w:p w14:paraId="2D65B9FE">
            <w:pPr>
              <w:pStyle w:val="121"/>
              <w:spacing w:line="480" w:lineRule="exact"/>
              <w:rPr>
                <w:szCs w:val="20"/>
                <w:highlight w:val="none"/>
              </w:rPr>
            </w:pPr>
            <w:r>
              <w:rPr>
                <w:rFonts w:hint="eastAsia"/>
                <w:highlight w:val="none"/>
              </w:rPr>
              <w:t>扳手</w:t>
            </w:r>
          </w:p>
        </w:tc>
        <w:tc>
          <w:tcPr>
            <w:tcW w:w="3615" w:type="dxa"/>
            <w:shd w:val="clear" w:color="auto" w:fill="auto"/>
            <w:vAlign w:val="center"/>
          </w:tcPr>
          <w:p w14:paraId="1BF4938D">
            <w:pPr>
              <w:pStyle w:val="121"/>
              <w:spacing w:line="480" w:lineRule="exact"/>
              <w:rPr>
                <w:szCs w:val="20"/>
                <w:highlight w:val="none"/>
              </w:rPr>
            </w:pPr>
            <w:r>
              <w:rPr>
                <w:highlight w:val="none"/>
              </w:rPr>
              <w:t>30</w:t>
            </w:r>
            <w:r>
              <w:rPr>
                <w:rFonts w:hint="eastAsia"/>
                <w:highlight w:val="none"/>
              </w:rPr>
              <w:t>″</w:t>
            </w:r>
          </w:p>
        </w:tc>
        <w:tc>
          <w:tcPr>
            <w:tcW w:w="992" w:type="dxa"/>
            <w:shd w:val="clear" w:color="auto" w:fill="auto"/>
            <w:vAlign w:val="center"/>
          </w:tcPr>
          <w:p w14:paraId="03F3DE09">
            <w:pPr>
              <w:pStyle w:val="121"/>
              <w:spacing w:line="480" w:lineRule="exact"/>
              <w:rPr>
                <w:szCs w:val="20"/>
                <w:highlight w:val="none"/>
              </w:rPr>
            </w:pPr>
            <w:r>
              <w:rPr>
                <w:rFonts w:hint="eastAsia"/>
                <w:highlight w:val="none"/>
              </w:rPr>
              <w:t>把</w:t>
            </w:r>
          </w:p>
        </w:tc>
        <w:tc>
          <w:tcPr>
            <w:tcW w:w="850" w:type="dxa"/>
            <w:shd w:val="clear" w:color="auto" w:fill="auto"/>
            <w:vAlign w:val="center"/>
          </w:tcPr>
          <w:p w14:paraId="063366CB">
            <w:pPr>
              <w:pStyle w:val="121"/>
              <w:spacing w:line="480" w:lineRule="exact"/>
              <w:rPr>
                <w:szCs w:val="20"/>
                <w:highlight w:val="none"/>
              </w:rPr>
            </w:pPr>
            <w:r>
              <w:rPr>
                <w:highlight w:val="none"/>
              </w:rPr>
              <w:t>1</w:t>
            </w:r>
          </w:p>
        </w:tc>
      </w:tr>
    </w:tbl>
    <w:p w14:paraId="00EBB24E">
      <w:pPr>
        <w:pStyle w:val="103"/>
        <w:numPr>
          <w:ilvl w:val="2"/>
          <w:numId w:val="0"/>
        </w:numPr>
        <w:spacing w:line="480" w:lineRule="exact"/>
        <w:ind w:firstLine="482" w:firstLineChars="200"/>
        <w:rPr>
          <w:highlight w:val="none"/>
        </w:rPr>
      </w:pPr>
      <w:r>
        <w:rPr>
          <w:rFonts w:hint="eastAsia"/>
          <w:highlight w:val="none"/>
        </w:rPr>
        <w:t>1.14</w:t>
      </w:r>
      <w:r>
        <w:rPr>
          <w:highlight w:val="none"/>
        </w:rPr>
        <w:t>备品备件</w:t>
      </w:r>
    </w:p>
    <w:tbl>
      <w:tblPr>
        <w:tblStyle w:val="43"/>
        <w:tblW w:w="7936" w:type="dxa"/>
        <w:tblInd w:w="6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1940"/>
        <w:gridCol w:w="1687"/>
        <w:gridCol w:w="1624"/>
        <w:gridCol w:w="1779"/>
      </w:tblGrid>
      <w:tr w14:paraId="16F3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06" w:type="dxa"/>
          </w:tcPr>
          <w:p w14:paraId="5574E43A">
            <w:pPr>
              <w:pStyle w:val="121"/>
              <w:spacing w:line="480" w:lineRule="exact"/>
              <w:rPr>
                <w:highlight w:val="none"/>
              </w:rPr>
            </w:pPr>
            <w:r>
              <w:rPr>
                <w:rFonts w:hint="eastAsia"/>
                <w:highlight w:val="none"/>
              </w:rPr>
              <w:t>序号</w:t>
            </w:r>
          </w:p>
        </w:tc>
        <w:tc>
          <w:tcPr>
            <w:tcW w:w="1940" w:type="dxa"/>
          </w:tcPr>
          <w:p w14:paraId="22779CDF">
            <w:pPr>
              <w:pStyle w:val="121"/>
              <w:spacing w:line="480" w:lineRule="exact"/>
              <w:rPr>
                <w:highlight w:val="none"/>
              </w:rPr>
            </w:pPr>
            <w:r>
              <w:rPr>
                <w:rFonts w:hint="eastAsia"/>
                <w:highlight w:val="none"/>
              </w:rPr>
              <w:t>名称</w:t>
            </w:r>
          </w:p>
        </w:tc>
        <w:tc>
          <w:tcPr>
            <w:tcW w:w="1687" w:type="dxa"/>
          </w:tcPr>
          <w:p w14:paraId="627DE0BD">
            <w:pPr>
              <w:pStyle w:val="121"/>
              <w:spacing w:line="480" w:lineRule="exact"/>
              <w:rPr>
                <w:highlight w:val="none"/>
              </w:rPr>
            </w:pPr>
            <w:r>
              <w:rPr>
                <w:rFonts w:hint="eastAsia"/>
                <w:highlight w:val="none"/>
              </w:rPr>
              <w:t>型号</w:t>
            </w:r>
          </w:p>
        </w:tc>
        <w:tc>
          <w:tcPr>
            <w:tcW w:w="1624" w:type="dxa"/>
          </w:tcPr>
          <w:p w14:paraId="309A26D9">
            <w:pPr>
              <w:pStyle w:val="121"/>
              <w:spacing w:line="480" w:lineRule="exact"/>
              <w:rPr>
                <w:highlight w:val="none"/>
              </w:rPr>
            </w:pPr>
            <w:r>
              <w:rPr>
                <w:rFonts w:hint="eastAsia"/>
                <w:highlight w:val="none"/>
              </w:rPr>
              <w:t>数量</w:t>
            </w:r>
          </w:p>
        </w:tc>
        <w:tc>
          <w:tcPr>
            <w:tcW w:w="1779" w:type="dxa"/>
          </w:tcPr>
          <w:p w14:paraId="76AC7245">
            <w:pPr>
              <w:pStyle w:val="121"/>
              <w:spacing w:line="480" w:lineRule="exact"/>
              <w:rPr>
                <w:highlight w:val="none"/>
              </w:rPr>
            </w:pPr>
            <w:r>
              <w:rPr>
                <w:rFonts w:hint="eastAsia"/>
                <w:highlight w:val="none"/>
              </w:rPr>
              <w:t>备注</w:t>
            </w:r>
          </w:p>
        </w:tc>
      </w:tr>
      <w:tr w14:paraId="001BE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06" w:type="dxa"/>
          </w:tcPr>
          <w:p w14:paraId="42CB30D9">
            <w:pPr>
              <w:pStyle w:val="121"/>
              <w:spacing w:line="480" w:lineRule="exact"/>
              <w:rPr>
                <w:highlight w:val="none"/>
              </w:rPr>
            </w:pPr>
            <w:r>
              <w:rPr>
                <w:rFonts w:hint="eastAsia"/>
                <w:highlight w:val="none"/>
              </w:rPr>
              <w:t>1</w:t>
            </w:r>
          </w:p>
        </w:tc>
        <w:tc>
          <w:tcPr>
            <w:tcW w:w="1940" w:type="dxa"/>
          </w:tcPr>
          <w:p w14:paraId="3C8CE2FB">
            <w:pPr>
              <w:pStyle w:val="121"/>
              <w:spacing w:line="480" w:lineRule="exact"/>
              <w:rPr>
                <w:highlight w:val="none"/>
              </w:rPr>
            </w:pPr>
            <w:r>
              <w:rPr>
                <w:rFonts w:hint="eastAsia"/>
                <w:highlight w:val="none"/>
              </w:rPr>
              <w:t>中间继电器</w:t>
            </w:r>
          </w:p>
        </w:tc>
        <w:tc>
          <w:tcPr>
            <w:tcW w:w="1687" w:type="dxa"/>
          </w:tcPr>
          <w:p w14:paraId="15A69932">
            <w:pPr>
              <w:pStyle w:val="121"/>
              <w:spacing w:line="480" w:lineRule="exact"/>
              <w:rPr>
                <w:highlight w:val="none"/>
              </w:rPr>
            </w:pPr>
            <w:r>
              <w:rPr>
                <w:rFonts w:hint="eastAsia"/>
                <w:highlight w:val="none"/>
              </w:rPr>
              <w:t>RXM4LB2BD</w:t>
            </w:r>
          </w:p>
        </w:tc>
        <w:tc>
          <w:tcPr>
            <w:tcW w:w="1624" w:type="dxa"/>
          </w:tcPr>
          <w:p w14:paraId="65324740">
            <w:pPr>
              <w:pStyle w:val="121"/>
              <w:spacing w:line="480" w:lineRule="exact"/>
              <w:rPr>
                <w:highlight w:val="none"/>
              </w:rPr>
            </w:pPr>
            <w:r>
              <w:rPr>
                <w:rFonts w:hint="eastAsia"/>
                <w:highlight w:val="none"/>
              </w:rPr>
              <w:t>5</w:t>
            </w:r>
          </w:p>
        </w:tc>
        <w:tc>
          <w:tcPr>
            <w:tcW w:w="1779" w:type="dxa"/>
          </w:tcPr>
          <w:p w14:paraId="4062C73F">
            <w:pPr>
              <w:pStyle w:val="121"/>
              <w:spacing w:line="480" w:lineRule="exact"/>
              <w:rPr>
                <w:highlight w:val="none"/>
              </w:rPr>
            </w:pPr>
          </w:p>
        </w:tc>
      </w:tr>
      <w:tr w14:paraId="1484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06" w:type="dxa"/>
          </w:tcPr>
          <w:p w14:paraId="315983ED">
            <w:pPr>
              <w:pStyle w:val="121"/>
              <w:spacing w:line="480" w:lineRule="exact"/>
              <w:rPr>
                <w:highlight w:val="none"/>
              </w:rPr>
            </w:pPr>
            <w:r>
              <w:rPr>
                <w:rFonts w:hint="eastAsia"/>
                <w:highlight w:val="none"/>
              </w:rPr>
              <w:t>2</w:t>
            </w:r>
          </w:p>
        </w:tc>
        <w:tc>
          <w:tcPr>
            <w:tcW w:w="1940" w:type="dxa"/>
          </w:tcPr>
          <w:p w14:paraId="231E52DE">
            <w:pPr>
              <w:pStyle w:val="121"/>
              <w:spacing w:line="480" w:lineRule="exact"/>
              <w:rPr>
                <w:highlight w:val="none"/>
              </w:rPr>
            </w:pPr>
            <w:r>
              <w:rPr>
                <w:rFonts w:hint="eastAsia"/>
                <w:highlight w:val="none"/>
              </w:rPr>
              <w:t>密封盘根</w:t>
            </w:r>
          </w:p>
        </w:tc>
        <w:tc>
          <w:tcPr>
            <w:tcW w:w="1687" w:type="dxa"/>
          </w:tcPr>
          <w:p w14:paraId="51E4968F">
            <w:pPr>
              <w:pStyle w:val="121"/>
              <w:spacing w:line="480" w:lineRule="exact"/>
              <w:rPr>
                <w:highlight w:val="none"/>
              </w:rPr>
            </w:pPr>
            <w:r>
              <w:rPr>
                <w:rFonts w:hint="eastAsia"/>
                <w:highlight w:val="none"/>
              </w:rPr>
              <w:t>20*20</w:t>
            </w:r>
          </w:p>
        </w:tc>
        <w:tc>
          <w:tcPr>
            <w:tcW w:w="1624" w:type="dxa"/>
          </w:tcPr>
          <w:p w14:paraId="75A46DA2">
            <w:pPr>
              <w:pStyle w:val="121"/>
              <w:spacing w:line="480" w:lineRule="exact"/>
              <w:rPr>
                <w:highlight w:val="none"/>
              </w:rPr>
            </w:pPr>
            <w:r>
              <w:rPr>
                <w:rFonts w:hint="eastAsia"/>
                <w:highlight w:val="none"/>
              </w:rPr>
              <w:t>5</w:t>
            </w:r>
          </w:p>
        </w:tc>
        <w:tc>
          <w:tcPr>
            <w:tcW w:w="1779" w:type="dxa"/>
          </w:tcPr>
          <w:p w14:paraId="17DBAC9F">
            <w:pPr>
              <w:pStyle w:val="121"/>
              <w:spacing w:line="480" w:lineRule="exact"/>
              <w:rPr>
                <w:highlight w:val="none"/>
              </w:rPr>
            </w:pPr>
          </w:p>
        </w:tc>
      </w:tr>
      <w:tr w14:paraId="0B97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06" w:type="dxa"/>
          </w:tcPr>
          <w:p w14:paraId="32EB0D53">
            <w:pPr>
              <w:pStyle w:val="121"/>
              <w:spacing w:line="480" w:lineRule="exact"/>
              <w:rPr>
                <w:highlight w:val="none"/>
              </w:rPr>
            </w:pPr>
            <w:r>
              <w:rPr>
                <w:rFonts w:hint="eastAsia"/>
                <w:highlight w:val="none"/>
              </w:rPr>
              <w:t>3</w:t>
            </w:r>
          </w:p>
        </w:tc>
        <w:tc>
          <w:tcPr>
            <w:tcW w:w="1940" w:type="dxa"/>
          </w:tcPr>
          <w:p w14:paraId="21B84D7F">
            <w:pPr>
              <w:pStyle w:val="121"/>
              <w:spacing w:line="480" w:lineRule="exact"/>
              <w:rPr>
                <w:highlight w:val="none"/>
              </w:rPr>
            </w:pPr>
            <w:r>
              <w:rPr>
                <w:rFonts w:hint="eastAsia"/>
                <w:highlight w:val="none"/>
              </w:rPr>
              <w:t>加热器接头</w:t>
            </w:r>
          </w:p>
        </w:tc>
        <w:tc>
          <w:tcPr>
            <w:tcW w:w="1687" w:type="dxa"/>
          </w:tcPr>
          <w:p w14:paraId="1EC2CB66">
            <w:pPr>
              <w:pStyle w:val="121"/>
              <w:spacing w:line="480" w:lineRule="exact"/>
              <w:rPr>
                <w:highlight w:val="none"/>
              </w:rPr>
            </w:pPr>
            <w:r>
              <w:rPr>
                <w:rFonts w:hint="eastAsia"/>
                <w:highlight w:val="none"/>
              </w:rPr>
              <w:t>铜L</w:t>
            </w:r>
          </w:p>
        </w:tc>
        <w:tc>
          <w:tcPr>
            <w:tcW w:w="1624" w:type="dxa"/>
          </w:tcPr>
          <w:p w14:paraId="3C70BECD">
            <w:pPr>
              <w:pStyle w:val="121"/>
              <w:spacing w:line="480" w:lineRule="exact"/>
              <w:rPr>
                <w:highlight w:val="none"/>
              </w:rPr>
            </w:pPr>
            <w:r>
              <w:rPr>
                <w:rFonts w:hint="eastAsia"/>
                <w:highlight w:val="none"/>
              </w:rPr>
              <w:t>5</w:t>
            </w:r>
          </w:p>
        </w:tc>
        <w:tc>
          <w:tcPr>
            <w:tcW w:w="1779" w:type="dxa"/>
          </w:tcPr>
          <w:p w14:paraId="45DC2598">
            <w:pPr>
              <w:pStyle w:val="121"/>
              <w:spacing w:line="480" w:lineRule="exact"/>
              <w:rPr>
                <w:highlight w:val="none"/>
              </w:rPr>
            </w:pPr>
          </w:p>
        </w:tc>
      </w:tr>
      <w:tr w14:paraId="47AB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06" w:type="dxa"/>
          </w:tcPr>
          <w:p w14:paraId="2E0F1C66">
            <w:pPr>
              <w:pStyle w:val="121"/>
              <w:spacing w:line="480" w:lineRule="exact"/>
              <w:rPr>
                <w:highlight w:val="none"/>
              </w:rPr>
            </w:pPr>
            <w:r>
              <w:rPr>
                <w:rFonts w:hint="eastAsia"/>
                <w:highlight w:val="none"/>
              </w:rPr>
              <w:t>4</w:t>
            </w:r>
          </w:p>
        </w:tc>
        <w:tc>
          <w:tcPr>
            <w:tcW w:w="1940" w:type="dxa"/>
          </w:tcPr>
          <w:p w14:paraId="3E73810C">
            <w:pPr>
              <w:pStyle w:val="121"/>
              <w:spacing w:line="480" w:lineRule="exact"/>
              <w:rPr>
                <w:highlight w:val="none"/>
              </w:rPr>
            </w:pPr>
            <w:r>
              <w:rPr>
                <w:rFonts w:hint="eastAsia"/>
                <w:highlight w:val="none"/>
              </w:rPr>
              <w:t>链条活接</w:t>
            </w:r>
          </w:p>
        </w:tc>
        <w:tc>
          <w:tcPr>
            <w:tcW w:w="1687" w:type="dxa"/>
          </w:tcPr>
          <w:p w14:paraId="795855F8">
            <w:pPr>
              <w:pStyle w:val="121"/>
              <w:spacing w:line="480" w:lineRule="exact"/>
              <w:rPr>
                <w:highlight w:val="none"/>
              </w:rPr>
            </w:pPr>
            <w:r>
              <w:rPr>
                <w:rFonts w:hint="eastAsia"/>
                <w:highlight w:val="none"/>
              </w:rPr>
              <w:t>1寸双排</w:t>
            </w:r>
          </w:p>
        </w:tc>
        <w:tc>
          <w:tcPr>
            <w:tcW w:w="1624" w:type="dxa"/>
          </w:tcPr>
          <w:p w14:paraId="4215C8EA">
            <w:pPr>
              <w:pStyle w:val="121"/>
              <w:spacing w:line="480" w:lineRule="exact"/>
              <w:rPr>
                <w:highlight w:val="none"/>
              </w:rPr>
            </w:pPr>
            <w:r>
              <w:rPr>
                <w:rFonts w:hint="eastAsia"/>
                <w:highlight w:val="none"/>
              </w:rPr>
              <w:t>2</w:t>
            </w:r>
          </w:p>
        </w:tc>
        <w:tc>
          <w:tcPr>
            <w:tcW w:w="1779" w:type="dxa"/>
          </w:tcPr>
          <w:p w14:paraId="654D8753">
            <w:pPr>
              <w:pStyle w:val="121"/>
              <w:spacing w:line="480" w:lineRule="exact"/>
              <w:rPr>
                <w:highlight w:val="none"/>
              </w:rPr>
            </w:pPr>
          </w:p>
        </w:tc>
      </w:tr>
      <w:tr w14:paraId="6BC6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06" w:type="dxa"/>
          </w:tcPr>
          <w:p w14:paraId="3E828B0F">
            <w:pPr>
              <w:pStyle w:val="121"/>
              <w:spacing w:line="480" w:lineRule="exact"/>
              <w:rPr>
                <w:highlight w:val="none"/>
              </w:rPr>
            </w:pPr>
            <w:r>
              <w:rPr>
                <w:rFonts w:hint="eastAsia"/>
                <w:highlight w:val="none"/>
              </w:rPr>
              <w:t>5</w:t>
            </w:r>
          </w:p>
        </w:tc>
        <w:tc>
          <w:tcPr>
            <w:tcW w:w="1940" w:type="dxa"/>
          </w:tcPr>
          <w:p w14:paraId="00730A3E">
            <w:pPr>
              <w:pStyle w:val="121"/>
              <w:spacing w:line="480" w:lineRule="exact"/>
              <w:rPr>
                <w:highlight w:val="none"/>
              </w:rPr>
            </w:pPr>
            <w:r>
              <w:rPr>
                <w:rFonts w:hint="eastAsia"/>
                <w:highlight w:val="none"/>
              </w:rPr>
              <w:t>油缸对丝</w:t>
            </w:r>
          </w:p>
        </w:tc>
        <w:tc>
          <w:tcPr>
            <w:tcW w:w="1687" w:type="dxa"/>
          </w:tcPr>
          <w:p w14:paraId="560F4962">
            <w:pPr>
              <w:pStyle w:val="121"/>
              <w:spacing w:line="480" w:lineRule="exact"/>
              <w:rPr>
                <w:highlight w:val="none"/>
              </w:rPr>
            </w:pPr>
            <w:r>
              <w:rPr>
                <w:rFonts w:hint="eastAsia"/>
                <w:highlight w:val="none"/>
              </w:rPr>
              <w:t>M16</w:t>
            </w:r>
          </w:p>
        </w:tc>
        <w:tc>
          <w:tcPr>
            <w:tcW w:w="1624" w:type="dxa"/>
          </w:tcPr>
          <w:p w14:paraId="4D79B496">
            <w:pPr>
              <w:pStyle w:val="121"/>
              <w:spacing w:line="480" w:lineRule="exact"/>
              <w:rPr>
                <w:highlight w:val="none"/>
              </w:rPr>
            </w:pPr>
            <w:r>
              <w:rPr>
                <w:rFonts w:hint="eastAsia"/>
                <w:highlight w:val="none"/>
              </w:rPr>
              <w:t>5</w:t>
            </w:r>
          </w:p>
        </w:tc>
        <w:tc>
          <w:tcPr>
            <w:tcW w:w="1779" w:type="dxa"/>
          </w:tcPr>
          <w:p w14:paraId="5CD8E8F4">
            <w:pPr>
              <w:pStyle w:val="121"/>
              <w:spacing w:line="480" w:lineRule="exact"/>
              <w:rPr>
                <w:highlight w:val="none"/>
              </w:rPr>
            </w:pPr>
          </w:p>
        </w:tc>
      </w:tr>
      <w:tr w14:paraId="3C6E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06" w:type="dxa"/>
          </w:tcPr>
          <w:p w14:paraId="601EB3DD">
            <w:pPr>
              <w:pStyle w:val="121"/>
              <w:spacing w:line="480" w:lineRule="exact"/>
              <w:rPr>
                <w:highlight w:val="none"/>
              </w:rPr>
            </w:pPr>
            <w:r>
              <w:rPr>
                <w:rFonts w:hint="eastAsia"/>
                <w:highlight w:val="none"/>
              </w:rPr>
              <w:t>6</w:t>
            </w:r>
          </w:p>
        </w:tc>
        <w:tc>
          <w:tcPr>
            <w:tcW w:w="1940" w:type="dxa"/>
          </w:tcPr>
          <w:p w14:paraId="2A2EF76F">
            <w:pPr>
              <w:pStyle w:val="121"/>
              <w:spacing w:line="480" w:lineRule="exact"/>
              <w:rPr>
                <w:highlight w:val="none"/>
              </w:rPr>
            </w:pPr>
            <w:r>
              <w:rPr>
                <w:rFonts w:hint="eastAsia"/>
                <w:highlight w:val="none"/>
              </w:rPr>
              <w:t>油缸油管</w:t>
            </w:r>
          </w:p>
        </w:tc>
        <w:tc>
          <w:tcPr>
            <w:tcW w:w="1687" w:type="dxa"/>
          </w:tcPr>
          <w:p w14:paraId="3FC2E095">
            <w:pPr>
              <w:pStyle w:val="121"/>
              <w:spacing w:line="480" w:lineRule="exact"/>
              <w:rPr>
                <w:highlight w:val="none"/>
              </w:rPr>
            </w:pPr>
            <w:r>
              <w:rPr>
                <w:rFonts w:hint="eastAsia"/>
                <w:highlight w:val="none"/>
              </w:rPr>
              <w:t>2米</w:t>
            </w:r>
          </w:p>
        </w:tc>
        <w:tc>
          <w:tcPr>
            <w:tcW w:w="1624" w:type="dxa"/>
          </w:tcPr>
          <w:p w14:paraId="41DD3444">
            <w:pPr>
              <w:pStyle w:val="121"/>
              <w:spacing w:line="480" w:lineRule="exact"/>
              <w:rPr>
                <w:highlight w:val="none"/>
              </w:rPr>
            </w:pPr>
            <w:r>
              <w:rPr>
                <w:rFonts w:hint="eastAsia"/>
                <w:highlight w:val="none"/>
              </w:rPr>
              <w:t>2</w:t>
            </w:r>
          </w:p>
        </w:tc>
        <w:tc>
          <w:tcPr>
            <w:tcW w:w="1779" w:type="dxa"/>
          </w:tcPr>
          <w:p w14:paraId="2A0479E4">
            <w:pPr>
              <w:pStyle w:val="121"/>
              <w:spacing w:line="480" w:lineRule="exact"/>
              <w:rPr>
                <w:highlight w:val="none"/>
              </w:rPr>
            </w:pPr>
          </w:p>
        </w:tc>
      </w:tr>
      <w:tr w14:paraId="760A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27AFDC92">
            <w:pPr>
              <w:pStyle w:val="121"/>
              <w:spacing w:line="480" w:lineRule="exact"/>
              <w:rPr>
                <w:highlight w:val="none"/>
              </w:rPr>
            </w:pPr>
            <w:r>
              <w:rPr>
                <w:rFonts w:hint="eastAsia"/>
                <w:highlight w:val="none"/>
              </w:rPr>
              <w:t>7</w:t>
            </w:r>
          </w:p>
        </w:tc>
        <w:tc>
          <w:tcPr>
            <w:tcW w:w="1940" w:type="dxa"/>
          </w:tcPr>
          <w:p w14:paraId="18CAF379">
            <w:pPr>
              <w:pStyle w:val="121"/>
              <w:spacing w:line="480" w:lineRule="exact"/>
              <w:rPr>
                <w:highlight w:val="none"/>
              </w:rPr>
            </w:pPr>
            <w:r>
              <w:rPr>
                <w:rFonts w:hint="eastAsia"/>
                <w:highlight w:val="none"/>
              </w:rPr>
              <w:t>O型圈</w:t>
            </w:r>
          </w:p>
        </w:tc>
        <w:tc>
          <w:tcPr>
            <w:tcW w:w="1687" w:type="dxa"/>
          </w:tcPr>
          <w:p w14:paraId="595BFD7F">
            <w:pPr>
              <w:pStyle w:val="121"/>
              <w:spacing w:line="480" w:lineRule="exact"/>
              <w:rPr>
                <w:highlight w:val="none"/>
              </w:rPr>
            </w:pPr>
            <w:r>
              <w:rPr>
                <w:rFonts w:hint="eastAsia"/>
                <w:highlight w:val="none"/>
              </w:rPr>
              <w:t>M16</w:t>
            </w:r>
          </w:p>
        </w:tc>
        <w:tc>
          <w:tcPr>
            <w:tcW w:w="1624" w:type="dxa"/>
          </w:tcPr>
          <w:p w14:paraId="663A9AD3">
            <w:pPr>
              <w:pStyle w:val="121"/>
              <w:spacing w:line="480" w:lineRule="exact"/>
              <w:rPr>
                <w:highlight w:val="none"/>
              </w:rPr>
            </w:pPr>
            <w:r>
              <w:rPr>
                <w:rFonts w:hint="eastAsia"/>
                <w:highlight w:val="none"/>
              </w:rPr>
              <w:t>5</w:t>
            </w:r>
          </w:p>
        </w:tc>
        <w:tc>
          <w:tcPr>
            <w:tcW w:w="1779" w:type="dxa"/>
          </w:tcPr>
          <w:p w14:paraId="260BA314">
            <w:pPr>
              <w:pStyle w:val="121"/>
              <w:spacing w:line="480" w:lineRule="exact"/>
              <w:rPr>
                <w:highlight w:val="none"/>
              </w:rPr>
            </w:pPr>
          </w:p>
        </w:tc>
      </w:tr>
      <w:tr w14:paraId="4936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1167D044">
            <w:pPr>
              <w:pStyle w:val="121"/>
              <w:spacing w:line="480" w:lineRule="exact"/>
              <w:rPr>
                <w:highlight w:val="none"/>
              </w:rPr>
            </w:pPr>
            <w:r>
              <w:rPr>
                <w:rFonts w:hint="eastAsia"/>
                <w:highlight w:val="none"/>
              </w:rPr>
              <w:t>8</w:t>
            </w:r>
          </w:p>
        </w:tc>
        <w:tc>
          <w:tcPr>
            <w:tcW w:w="1940" w:type="dxa"/>
          </w:tcPr>
          <w:p w14:paraId="4C56AACA">
            <w:pPr>
              <w:pStyle w:val="121"/>
              <w:spacing w:line="480" w:lineRule="exact"/>
              <w:rPr>
                <w:highlight w:val="none"/>
              </w:rPr>
            </w:pPr>
            <w:r>
              <w:rPr>
                <w:rFonts w:hint="eastAsia"/>
                <w:highlight w:val="none"/>
              </w:rPr>
              <w:t>犁刀螺丝</w:t>
            </w:r>
          </w:p>
        </w:tc>
        <w:tc>
          <w:tcPr>
            <w:tcW w:w="1687" w:type="dxa"/>
          </w:tcPr>
          <w:p w14:paraId="30D0E05A">
            <w:pPr>
              <w:pStyle w:val="121"/>
              <w:spacing w:line="480" w:lineRule="exact"/>
              <w:rPr>
                <w:highlight w:val="none"/>
              </w:rPr>
            </w:pPr>
            <w:r>
              <w:rPr>
                <w:rFonts w:hint="eastAsia"/>
                <w:highlight w:val="none"/>
              </w:rPr>
              <w:t>M16*120</w:t>
            </w:r>
          </w:p>
        </w:tc>
        <w:tc>
          <w:tcPr>
            <w:tcW w:w="1624" w:type="dxa"/>
          </w:tcPr>
          <w:p w14:paraId="4EC2BB73">
            <w:pPr>
              <w:pStyle w:val="121"/>
              <w:spacing w:line="480" w:lineRule="exact"/>
              <w:rPr>
                <w:highlight w:val="none"/>
              </w:rPr>
            </w:pPr>
            <w:r>
              <w:rPr>
                <w:rFonts w:hint="eastAsia"/>
                <w:highlight w:val="none"/>
              </w:rPr>
              <w:t>5</w:t>
            </w:r>
          </w:p>
        </w:tc>
        <w:tc>
          <w:tcPr>
            <w:tcW w:w="1779" w:type="dxa"/>
          </w:tcPr>
          <w:p w14:paraId="435B5C05">
            <w:pPr>
              <w:pStyle w:val="121"/>
              <w:spacing w:line="480" w:lineRule="exact"/>
              <w:rPr>
                <w:highlight w:val="none"/>
              </w:rPr>
            </w:pPr>
          </w:p>
        </w:tc>
      </w:tr>
      <w:tr w14:paraId="7EFDD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0D749F1C">
            <w:pPr>
              <w:pStyle w:val="121"/>
              <w:spacing w:line="480" w:lineRule="exact"/>
              <w:rPr>
                <w:highlight w:val="none"/>
              </w:rPr>
            </w:pPr>
            <w:r>
              <w:rPr>
                <w:rFonts w:hint="eastAsia"/>
                <w:highlight w:val="none"/>
              </w:rPr>
              <w:t>9</w:t>
            </w:r>
          </w:p>
        </w:tc>
        <w:tc>
          <w:tcPr>
            <w:tcW w:w="1940" w:type="dxa"/>
          </w:tcPr>
          <w:p w14:paraId="10069572">
            <w:pPr>
              <w:pStyle w:val="121"/>
              <w:spacing w:line="480" w:lineRule="exact"/>
              <w:rPr>
                <w:highlight w:val="none"/>
              </w:rPr>
            </w:pPr>
            <w:r>
              <w:rPr>
                <w:rFonts w:hint="eastAsia"/>
                <w:highlight w:val="none"/>
              </w:rPr>
              <w:t>门锁</w:t>
            </w:r>
          </w:p>
        </w:tc>
        <w:tc>
          <w:tcPr>
            <w:tcW w:w="1687" w:type="dxa"/>
          </w:tcPr>
          <w:p w14:paraId="2D341E01">
            <w:pPr>
              <w:pStyle w:val="121"/>
              <w:spacing w:line="480" w:lineRule="exact"/>
              <w:rPr>
                <w:highlight w:val="none"/>
              </w:rPr>
            </w:pPr>
            <w:r>
              <w:rPr>
                <w:rFonts w:hint="eastAsia"/>
                <w:highlight w:val="none"/>
              </w:rPr>
              <w:t>M7-13</w:t>
            </w:r>
          </w:p>
        </w:tc>
        <w:tc>
          <w:tcPr>
            <w:tcW w:w="1624" w:type="dxa"/>
          </w:tcPr>
          <w:p w14:paraId="562E2B13">
            <w:pPr>
              <w:pStyle w:val="121"/>
              <w:spacing w:line="480" w:lineRule="exact"/>
              <w:rPr>
                <w:highlight w:val="none"/>
              </w:rPr>
            </w:pPr>
            <w:r>
              <w:rPr>
                <w:rFonts w:hint="eastAsia"/>
                <w:highlight w:val="none"/>
              </w:rPr>
              <w:t>2</w:t>
            </w:r>
          </w:p>
        </w:tc>
        <w:tc>
          <w:tcPr>
            <w:tcW w:w="1779" w:type="dxa"/>
          </w:tcPr>
          <w:p w14:paraId="635ADACA">
            <w:pPr>
              <w:pStyle w:val="121"/>
              <w:spacing w:line="480" w:lineRule="exact"/>
              <w:rPr>
                <w:highlight w:val="none"/>
              </w:rPr>
            </w:pPr>
          </w:p>
        </w:tc>
      </w:tr>
      <w:tr w14:paraId="64B2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7EE05167">
            <w:pPr>
              <w:pStyle w:val="121"/>
              <w:spacing w:line="480" w:lineRule="exact"/>
              <w:rPr>
                <w:highlight w:val="none"/>
              </w:rPr>
            </w:pPr>
            <w:r>
              <w:rPr>
                <w:rFonts w:hint="eastAsia"/>
                <w:highlight w:val="none"/>
              </w:rPr>
              <w:t>10</w:t>
            </w:r>
          </w:p>
        </w:tc>
        <w:tc>
          <w:tcPr>
            <w:tcW w:w="1940" w:type="dxa"/>
          </w:tcPr>
          <w:p w14:paraId="7A3DC421">
            <w:pPr>
              <w:pStyle w:val="121"/>
              <w:spacing w:line="480" w:lineRule="exact"/>
              <w:rPr>
                <w:highlight w:val="none"/>
              </w:rPr>
            </w:pPr>
            <w:r>
              <w:rPr>
                <w:rFonts w:hint="eastAsia"/>
                <w:highlight w:val="none"/>
              </w:rPr>
              <w:t>出料口合页</w:t>
            </w:r>
          </w:p>
        </w:tc>
        <w:tc>
          <w:tcPr>
            <w:tcW w:w="1687" w:type="dxa"/>
          </w:tcPr>
          <w:p w14:paraId="133333BB">
            <w:pPr>
              <w:pStyle w:val="121"/>
              <w:spacing w:line="480" w:lineRule="exact"/>
              <w:rPr>
                <w:highlight w:val="none"/>
              </w:rPr>
            </w:pPr>
            <w:r>
              <w:rPr>
                <w:rFonts w:hint="eastAsia"/>
                <w:highlight w:val="none"/>
              </w:rPr>
              <w:t>40*40</w:t>
            </w:r>
          </w:p>
        </w:tc>
        <w:tc>
          <w:tcPr>
            <w:tcW w:w="1624" w:type="dxa"/>
          </w:tcPr>
          <w:p w14:paraId="5E14D519">
            <w:pPr>
              <w:pStyle w:val="121"/>
              <w:spacing w:line="480" w:lineRule="exact"/>
              <w:rPr>
                <w:highlight w:val="none"/>
              </w:rPr>
            </w:pPr>
            <w:r>
              <w:rPr>
                <w:rFonts w:hint="eastAsia"/>
                <w:highlight w:val="none"/>
              </w:rPr>
              <w:t>5</w:t>
            </w:r>
          </w:p>
        </w:tc>
        <w:tc>
          <w:tcPr>
            <w:tcW w:w="1779" w:type="dxa"/>
          </w:tcPr>
          <w:p w14:paraId="756ACADD">
            <w:pPr>
              <w:pStyle w:val="121"/>
              <w:spacing w:line="480" w:lineRule="exact"/>
              <w:rPr>
                <w:highlight w:val="none"/>
              </w:rPr>
            </w:pPr>
          </w:p>
        </w:tc>
      </w:tr>
      <w:tr w14:paraId="6FB1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55E10CB4">
            <w:pPr>
              <w:pStyle w:val="121"/>
              <w:spacing w:line="480" w:lineRule="exact"/>
              <w:rPr>
                <w:highlight w:val="none"/>
              </w:rPr>
            </w:pPr>
            <w:r>
              <w:rPr>
                <w:rFonts w:hint="eastAsia"/>
                <w:highlight w:val="none"/>
              </w:rPr>
              <w:t>11</w:t>
            </w:r>
          </w:p>
        </w:tc>
        <w:tc>
          <w:tcPr>
            <w:tcW w:w="1940" w:type="dxa"/>
          </w:tcPr>
          <w:p w14:paraId="0B5CE6D7">
            <w:pPr>
              <w:pStyle w:val="121"/>
              <w:spacing w:line="480" w:lineRule="exact"/>
              <w:rPr>
                <w:highlight w:val="none"/>
              </w:rPr>
            </w:pPr>
            <w:r>
              <w:rPr>
                <w:rFonts w:hint="eastAsia"/>
                <w:highlight w:val="none"/>
              </w:rPr>
              <w:t>出料口密封条</w:t>
            </w:r>
          </w:p>
        </w:tc>
        <w:tc>
          <w:tcPr>
            <w:tcW w:w="1687" w:type="dxa"/>
          </w:tcPr>
          <w:p w14:paraId="48684889">
            <w:pPr>
              <w:pStyle w:val="121"/>
              <w:spacing w:line="480" w:lineRule="exact"/>
              <w:rPr>
                <w:highlight w:val="none"/>
              </w:rPr>
            </w:pPr>
            <w:r>
              <w:rPr>
                <w:rFonts w:hint="eastAsia"/>
                <w:highlight w:val="none"/>
              </w:rPr>
              <w:t>10*20</w:t>
            </w:r>
          </w:p>
        </w:tc>
        <w:tc>
          <w:tcPr>
            <w:tcW w:w="1624" w:type="dxa"/>
          </w:tcPr>
          <w:p w14:paraId="0BA157BF">
            <w:pPr>
              <w:pStyle w:val="121"/>
              <w:spacing w:line="480" w:lineRule="exact"/>
              <w:rPr>
                <w:highlight w:val="none"/>
              </w:rPr>
            </w:pPr>
            <w:r>
              <w:rPr>
                <w:rFonts w:hint="eastAsia"/>
                <w:highlight w:val="none"/>
              </w:rPr>
              <w:t>5</w:t>
            </w:r>
          </w:p>
        </w:tc>
        <w:tc>
          <w:tcPr>
            <w:tcW w:w="1779" w:type="dxa"/>
          </w:tcPr>
          <w:p w14:paraId="7ACA934C">
            <w:pPr>
              <w:pStyle w:val="121"/>
              <w:spacing w:line="480" w:lineRule="exact"/>
              <w:rPr>
                <w:highlight w:val="none"/>
              </w:rPr>
            </w:pPr>
          </w:p>
        </w:tc>
      </w:tr>
      <w:tr w14:paraId="1B64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3C473761">
            <w:pPr>
              <w:pStyle w:val="121"/>
              <w:spacing w:line="480" w:lineRule="exact"/>
              <w:rPr>
                <w:highlight w:val="none"/>
              </w:rPr>
            </w:pPr>
            <w:r>
              <w:rPr>
                <w:rFonts w:hint="eastAsia"/>
                <w:highlight w:val="none"/>
              </w:rPr>
              <w:t>12</w:t>
            </w:r>
          </w:p>
        </w:tc>
        <w:tc>
          <w:tcPr>
            <w:tcW w:w="1940" w:type="dxa"/>
          </w:tcPr>
          <w:p w14:paraId="320A0148">
            <w:pPr>
              <w:pStyle w:val="121"/>
              <w:spacing w:line="480" w:lineRule="exact"/>
              <w:rPr>
                <w:highlight w:val="none"/>
              </w:rPr>
            </w:pPr>
            <w:r>
              <w:rPr>
                <w:rFonts w:hint="eastAsia"/>
                <w:highlight w:val="none"/>
              </w:rPr>
              <w:t>门销</w:t>
            </w:r>
          </w:p>
        </w:tc>
        <w:tc>
          <w:tcPr>
            <w:tcW w:w="1687" w:type="dxa"/>
          </w:tcPr>
          <w:p w14:paraId="2C9F6E2A">
            <w:pPr>
              <w:pStyle w:val="121"/>
              <w:spacing w:line="480" w:lineRule="exact"/>
              <w:rPr>
                <w:highlight w:val="none"/>
              </w:rPr>
            </w:pPr>
            <w:r>
              <w:rPr>
                <w:rFonts w:hint="eastAsia"/>
                <w:highlight w:val="none"/>
              </w:rPr>
              <w:t>D611</w:t>
            </w:r>
          </w:p>
        </w:tc>
        <w:tc>
          <w:tcPr>
            <w:tcW w:w="1624" w:type="dxa"/>
          </w:tcPr>
          <w:p w14:paraId="05E4457E">
            <w:pPr>
              <w:pStyle w:val="121"/>
              <w:spacing w:line="480" w:lineRule="exact"/>
              <w:rPr>
                <w:highlight w:val="none"/>
              </w:rPr>
            </w:pPr>
            <w:r>
              <w:rPr>
                <w:rFonts w:hint="eastAsia"/>
                <w:highlight w:val="none"/>
              </w:rPr>
              <w:t>2</w:t>
            </w:r>
          </w:p>
        </w:tc>
        <w:tc>
          <w:tcPr>
            <w:tcW w:w="1779" w:type="dxa"/>
          </w:tcPr>
          <w:p w14:paraId="408B488E">
            <w:pPr>
              <w:pStyle w:val="121"/>
              <w:spacing w:line="480" w:lineRule="exact"/>
              <w:rPr>
                <w:highlight w:val="none"/>
              </w:rPr>
            </w:pPr>
          </w:p>
        </w:tc>
      </w:tr>
      <w:tr w14:paraId="6F90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2FF7DAD2">
            <w:pPr>
              <w:pStyle w:val="121"/>
              <w:spacing w:line="480" w:lineRule="exact"/>
              <w:rPr>
                <w:highlight w:val="none"/>
              </w:rPr>
            </w:pPr>
            <w:r>
              <w:rPr>
                <w:rFonts w:hint="eastAsia"/>
                <w:highlight w:val="none"/>
              </w:rPr>
              <w:t>13</w:t>
            </w:r>
          </w:p>
        </w:tc>
        <w:tc>
          <w:tcPr>
            <w:tcW w:w="1940" w:type="dxa"/>
          </w:tcPr>
          <w:p w14:paraId="6AE2710B">
            <w:pPr>
              <w:pStyle w:val="121"/>
              <w:spacing w:line="480" w:lineRule="exact"/>
              <w:rPr>
                <w:highlight w:val="none"/>
              </w:rPr>
            </w:pPr>
            <w:r>
              <w:rPr>
                <w:rFonts w:hint="eastAsia"/>
                <w:highlight w:val="none"/>
              </w:rPr>
              <w:t>通风口密封圈</w:t>
            </w:r>
          </w:p>
        </w:tc>
        <w:tc>
          <w:tcPr>
            <w:tcW w:w="1687" w:type="dxa"/>
          </w:tcPr>
          <w:p w14:paraId="4B00A9F5">
            <w:pPr>
              <w:pStyle w:val="121"/>
              <w:spacing w:line="480" w:lineRule="exact"/>
              <w:rPr>
                <w:highlight w:val="none"/>
              </w:rPr>
            </w:pPr>
            <w:r>
              <w:rPr>
                <w:rFonts w:hint="eastAsia"/>
                <w:highlight w:val="none"/>
              </w:rPr>
              <w:t>159</w:t>
            </w:r>
          </w:p>
        </w:tc>
        <w:tc>
          <w:tcPr>
            <w:tcW w:w="1624" w:type="dxa"/>
          </w:tcPr>
          <w:p w14:paraId="05FA7B32">
            <w:pPr>
              <w:pStyle w:val="121"/>
              <w:spacing w:line="480" w:lineRule="exact"/>
              <w:rPr>
                <w:highlight w:val="none"/>
              </w:rPr>
            </w:pPr>
            <w:r>
              <w:rPr>
                <w:rFonts w:hint="eastAsia"/>
                <w:highlight w:val="none"/>
              </w:rPr>
              <w:t>2</w:t>
            </w:r>
          </w:p>
        </w:tc>
        <w:tc>
          <w:tcPr>
            <w:tcW w:w="1779" w:type="dxa"/>
          </w:tcPr>
          <w:p w14:paraId="041FDAE5">
            <w:pPr>
              <w:pStyle w:val="121"/>
              <w:spacing w:line="480" w:lineRule="exact"/>
              <w:rPr>
                <w:highlight w:val="none"/>
              </w:rPr>
            </w:pPr>
          </w:p>
        </w:tc>
      </w:tr>
      <w:tr w14:paraId="3B26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2D855806">
            <w:pPr>
              <w:pStyle w:val="121"/>
              <w:spacing w:line="480" w:lineRule="exact"/>
              <w:rPr>
                <w:highlight w:val="none"/>
              </w:rPr>
            </w:pPr>
            <w:r>
              <w:rPr>
                <w:rFonts w:hint="eastAsia"/>
                <w:highlight w:val="none"/>
              </w:rPr>
              <w:t>14</w:t>
            </w:r>
          </w:p>
        </w:tc>
        <w:tc>
          <w:tcPr>
            <w:tcW w:w="1940" w:type="dxa"/>
          </w:tcPr>
          <w:p w14:paraId="5148247B">
            <w:pPr>
              <w:pStyle w:val="121"/>
              <w:spacing w:line="480" w:lineRule="exact"/>
              <w:rPr>
                <w:highlight w:val="none"/>
              </w:rPr>
            </w:pPr>
            <w:r>
              <w:rPr>
                <w:rFonts w:hint="eastAsia"/>
                <w:highlight w:val="none"/>
              </w:rPr>
              <w:t>门板螺丝盖帽</w:t>
            </w:r>
          </w:p>
        </w:tc>
        <w:tc>
          <w:tcPr>
            <w:tcW w:w="1687" w:type="dxa"/>
          </w:tcPr>
          <w:p w14:paraId="766D0719">
            <w:pPr>
              <w:pStyle w:val="121"/>
              <w:spacing w:line="480" w:lineRule="exact"/>
              <w:rPr>
                <w:highlight w:val="none"/>
              </w:rPr>
            </w:pPr>
            <w:r>
              <w:rPr>
                <w:rFonts w:hint="eastAsia"/>
                <w:highlight w:val="none"/>
              </w:rPr>
              <w:t>12</w:t>
            </w:r>
          </w:p>
        </w:tc>
        <w:tc>
          <w:tcPr>
            <w:tcW w:w="1624" w:type="dxa"/>
          </w:tcPr>
          <w:p w14:paraId="03593B7B">
            <w:pPr>
              <w:pStyle w:val="121"/>
              <w:spacing w:line="480" w:lineRule="exact"/>
              <w:rPr>
                <w:highlight w:val="none"/>
              </w:rPr>
            </w:pPr>
            <w:r>
              <w:rPr>
                <w:rFonts w:hint="eastAsia"/>
                <w:highlight w:val="none"/>
              </w:rPr>
              <w:t>10</w:t>
            </w:r>
          </w:p>
        </w:tc>
        <w:tc>
          <w:tcPr>
            <w:tcW w:w="1779" w:type="dxa"/>
          </w:tcPr>
          <w:p w14:paraId="3DAFE9CE">
            <w:pPr>
              <w:pStyle w:val="121"/>
              <w:spacing w:line="480" w:lineRule="exact"/>
              <w:rPr>
                <w:highlight w:val="none"/>
              </w:rPr>
            </w:pPr>
          </w:p>
        </w:tc>
      </w:tr>
      <w:tr w14:paraId="764A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13BB826D">
            <w:pPr>
              <w:pStyle w:val="121"/>
              <w:spacing w:line="480" w:lineRule="exact"/>
              <w:rPr>
                <w:highlight w:val="none"/>
              </w:rPr>
            </w:pPr>
            <w:r>
              <w:rPr>
                <w:rFonts w:hint="eastAsia"/>
                <w:highlight w:val="none"/>
              </w:rPr>
              <w:t>15</w:t>
            </w:r>
          </w:p>
        </w:tc>
        <w:tc>
          <w:tcPr>
            <w:tcW w:w="1940" w:type="dxa"/>
          </w:tcPr>
          <w:p w14:paraId="67F823EA">
            <w:pPr>
              <w:pStyle w:val="121"/>
              <w:spacing w:line="480" w:lineRule="exact"/>
              <w:rPr>
                <w:highlight w:val="none"/>
              </w:rPr>
            </w:pPr>
            <w:r>
              <w:rPr>
                <w:rFonts w:hint="eastAsia"/>
                <w:highlight w:val="none"/>
              </w:rPr>
              <w:t>油位观察管</w:t>
            </w:r>
          </w:p>
        </w:tc>
        <w:tc>
          <w:tcPr>
            <w:tcW w:w="1687" w:type="dxa"/>
          </w:tcPr>
          <w:p w14:paraId="4EFE6E5B">
            <w:pPr>
              <w:pStyle w:val="121"/>
              <w:spacing w:line="480" w:lineRule="exact"/>
              <w:rPr>
                <w:highlight w:val="none"/>
              </w:rPr>
            </w:pPr>
            <w:r>
              <w:rPr>
                <w:rFonts w:hint="eastAsia"/>
                <w:highlight w:val="none"/>
              </w:rPr>
              <w:t>Φ14</w:t>
            </w:r>
          </w:p>
        </w:tc>
        <w:tc>
          <w:tcPr>
            <w:tcW w:w="1624" w:type="dxa"/>
          </w:tcPr>
          <w:p w14:paraId="17587A12">
            <w:pPr>
              <w:pStyle w:val="121"/>
              <w:spacing w:line="480" w:lineRule="exact"/>
              <w:rPr>
                <w:highlight w:val="none"/>
              </w:rPr>
            </w:pPr>
            <w:r>
              <w:rPr>
                <w:rFonts w:hint="eastAsia"/>
                <w:highlight w:val="none"/>
              </w:rPr>
              <w:t>2</w:t>
            </w:r>
          </w:p>
        </w:tc>
        <w:tc>
          <w:tcPr>
            <w:tcW w:w="1779" w:type="dxa"/>
          </w:tcPr>
          <w:p w14:paraId="1C3EB719">
            <w:pPr>
              <w:pStyle w:val="121"/>
              <w:spacing w:line="480" w:lineRule="exact"/>
              <w:rPr>
                <w:highlight w:val="none"/>
              </w:rPr>
            </w:pPr>
          </w:p>
        </w:tc>
      </w:tr>
      <w:tr w14:paraId="5645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06" w:type="dxa"/>
          </w:tcPr>
          <w:p w14:paraId="6516F085">
            <w:pPr>
              <w:pStyle w:val="121"/>
              <w:spacing w:line="480" w:lineRule="exact"/>
              <w:rPr>
                <w:highlight w:val="none"/>
              </w:rPr>
            </w:pPr>
            <w:r>
              <w:rPr>
                <w:rFonts w:hint="eastAsia"/>
                <w:highlight w:val="none"/>
              </w:rPr>
              <w:t>16</w:t>
            </w:r>
          </w:p>
        </w:tc>
        <w:tc>
          <w:tcPr>
            <w:tcW w:w="1940" w:type="dxa"/>
          </w:tcPr>
          <w:p w14:paraId="58AE6626">
            <w:pPr>
              <w:pStyle w:val="121"/>
              <w:spacing w:line="480" w:lineRule="exact"/>
              <w:rPr>
                <w:highlight w:val="none"/>
              </w:rPr>
            </w:pPr>
            <w:r>
              <w:rPr>
                <w:rFonts w:hint="eastAsia"/>
                <w:highlight w:val="none"/>
              </w:rPr>
              <w:t>按钮</w:t>
            </w:r>
          </w:p>
        </w:tc>
        <w:tc>
          <w:tcPr>
            <w:tcW w:w="1687" w:type="dxa"/>
          </w:tcPr>
          <w:p w14:paraId="410BF979">
            <w:pPr>
              <w:pStyle w:val="121"/>
              <w:spacing w:line="480" w:lineRule="exact"/>
              <w:rPr>
                <w:highlight w:val="none"/>
              </w:rPr>
            </w:pPr>
            <w:r>
              <w:rPr>
                <w:rFonts w:hint="eastAsia"/>
                <w:highlight w:val="none"/>
              </w:rPr>
              <w:t>24V</w:t>
            </w:r>
          </w:p>
        </w:tc>
        <w:tc>
          <w:tcPr>
            <w:tcW w:w="1624" w:type="dxa"/>
          </w:tcPr>
          <w:p w14:paraId="3C60FE9A">
            <w:pPr>
              <w:pStyle w:val="121"/>
              <w:spacing w:line="480" w:lineRule="exact"/>
              <w:rPr>
                <w:highlight w:val="none"/>
              </w:rPr>
            </w:pPr>
            <w:r>
              <w:rPr>
                <w:rFonts w:hint="eastAsia"/>
                <w:highlight w:val="none"/>
              </w:rPr>
              <w:t>3</w:t>
            </w:r>
          </w:p>
        </w:tc>
        <w:tc>
          <w:tcPr>
            <w:tcW w:w="1779" w:type="dxa"/>
          </w:tcPr>
          <w:p w14:paraId="7FDA964B">
            <w:pPr>
              <w:pStyle w:val="121"/>
              <w:spacing w:line="480" w:lineRule="exact"/>
              <w:rPr>
                <w:highlight w:val="none"/>
              </w:rPr>
            </w:pPr>
          </w:p>
        </w:tc>
      </w:tr>
    </w:tbl>
    <w:p w14:paraId="6A3547DA">
      <w:pPr>
        <w:spacing w:line="480" w:lineRule="exact"/>
        <w:ind w:firstLine="480"/>
        <w:rPr>
          <w:highlight w:val="none"/>
        </w:rPr>
      </w:pPr>
      <w:r>
        <w:rPr>
          <w:rFonts w:hint="eastAsia"/>
          <w:highlight w:val="none"/>
        </w:rPr>
        <w:t>注：质保期一年内提供免费维修(人为损坏除外)，并随设备提供清单内备品备件一套。超出保修期双方可另行协商合理的维护费用</w:t>
      </w:r>
    </w:p>
    <w:p w14:paraId="06A0DCAF">
      <w:pPr>
        <w:pStyle w:val="101"/>
        <w:numPr>
          <w:ilvl w:val="1"/>
          <w:numId w:val="0"/>
        </w:numPr>
        <w:spacing w:line="480" w:lineRule="exact"/>
        <w:rPr>
          <w:highlight w:val="none"/>
        </w:rPr>
      </w:pPr>
      <w:r>
        <w:rPr>
          <w:rFonts w:hint="eastAsia"/>
          <w:highlight w:val="none"/>
        </w:rPr>
        <w:t>七、综合说明</w:t>
      </w:r>
    </w:p>
    <w:p w14:paraId="639CD129">
      <w:pPr>
        <w:spacing w:line="480" w:lineRule="exact"/>
        <w:ind w:firstLine="482"/>
        <w:rPr>
          <w:b/>
          <w:highlight w:val="none"/>
        </w:rPr>
      </w:pPr>
      <w:r>
        <w:rPr>
          <w:rFonts w:hint="eastAsia"/>
          <w:b/>
          <w:highlight w:val="none"/>
        </w:rPr>
        <w:t>1.1概述</w:t>
      </w:r>
    </w:p>
    <w:p w14:paraId="0CC434E3">
      <w:pPr>
        <w:spacing w:line="480" w:lineRule="exact"/>
        <w:ind w:firstLine="480"/>
        <w:rPr>
          <w:highlight w:val="none"/>
        </w:rPr>
      </w:pPr>
      <w:r>
        <w:rPr>
          <w:rFonts w:hint="eastAsia"/>
          <w:highlight w:val="none"/>
        </w:rPr>
        <w:t>1.1.1中标人所投产品应能够至少达到以上采购清单及技术参数要求，否则将可能导致其投标文件被评标委员会拒绝。</w:t>
      </w:r>
    </w:p>
    <w:p w14:paraId="4E4B9E1F">
      <w:pPr>
        <w:spacing w:line="480" w:lineRule="exact"/>
        <w:ind w:firstLine="482"/>
        <w:rPr>
          <w:b/>
          <w:highlight w:val="none"/>
        </w:rPr>
      </w:pPr>
      <w:r>
        <w:rPr>
          <w:rFonts w:hint="eastAsia"/>
          <w:b/>
          <w:highlight w:val="none"/>
        </w:rPr>
        <w:t>1.2.2交货及安装时间</w:t>
      </w:r>
    </w:p>
    <w:p w14:paraId="4692F8F9">
      <w:pPr>
        <w:spacing w:line="480" w:lineRule="exact"/>
        <w:ind w:firstLine="480"/>
        <w:rPr>
          <w:highlight w:val="none"/>
        </w:rPr>
      </w:pPr>
      <w:bookmarkStart w:id="64" w:name="OLE_LINK13"/>
      <w:r>
        <w:rPr>
          <w:rFonts w:hint="eastAsia"/>
          <w:highlight w:val="none"/>
        </w:rPr>
        <w:t>1.2.1设备预付款到帐之日起120天内完成所有设备制造，并根据现场进度中标人配合土建单位进行预埋件的埋设的安装。现场具备设备安装条件之日起</w:t>
      </w:r>
      <w:r>
        <w:rPr>
          <w:rFonts w:hint="eastAsia"/>
          <w:b/>
          <w:highlight w:val="none"/>
        </w:rPr>
        <w:t>60天全部安装调试完成</w:t>
      </w:r>
      <w:r>
        <w:rPr>
          <w:rFonts w:hint="eastAsia"/>
          <w:highlight w:val="none"/>
        </w:rPr>
        <w:t>，安装调试完成后进入本项目系统的指导试运行。</w:t>
      </w:r>
    </w:p>
    <w:bookmarkEnd w:id="64"/>
    <w:p w14:paraId="5E1EDBA8">
      <w:pPr>
        <w:spacing w:line="480" w:lineRule="exact"/>
        <w:ind w:firstLine="482"/>
        <w:rPr>
          <w:highlight w:val="none"/>
        </w:rPr>
      </w:pPr>
      <w:bookmarkStart w:id="65" w:name="OLE_LINK16"/>
      <w:bookmarkStart w:id="66" w:name="OLE_LINK14"/>
      <w:r>
        <w:rPr>
          <w:rFonts w:hint="eastAsia"/>
          <w:b/>
          <w:bCs/>
          <w:kern w:val="0"/>
          <w:highlight w:val="none"/>
        </w:rPr>
        <w:t>1.2.2</w:t>
      </w:r>
      <w:r>
        <w:rPr>
          <w:b/>
          <w:bCs/>
          <w:kern w:val="0"/>
          <w:highlight w:val="none"/>
        </w:rPr>
        <w:t>调试开始至调试验收合格期间使用的药剂、活性污泥、设备备品备件、易损件、油脂油品、其他消耗品等费用全部由投标方负责</w:t>
      </w:r>
      <w:r>
        <w:rPr>
          <w:rFonts w:ascii="宋体" w:hAnsi="宋体"/>
          <w:highlight w:val="none"/>
        </w:rPr>
        <w:t>。</w:t>
      </w:r>
      <w:r>
        <w:rPr>
          <w:rFonts w:ascii="宋体" w:hAnsi="宋体"/>
          <w:b/>
          <w:highlight w:val="none"/>
        </w:rPr>
        <w:t>调试期间的水费、电费</w:t>
      </w:r>
      <w:r>
        <w:rPr>
          <w:rFonts w:hint="eastAsia" w:ascii="宋体" w:hAnsi="宋体"/>
          <w:b/>
          <w:highlight w:val="none"/>
        </w:rPr>
        <w:t>由招标方负责。</w:t>
      </w:r>
      <w:bookmarkEnd w:id="65"/>
    </w:p>
    <w:bookmarkEnd w:id="66"/>
    <w:p w14:paraId="2CB43C4D">
      <w:pPr>
        <w:spacing w:line="480" w:lineRule="exact"/>
        <w:ind w:firstLine="482"/>
        <w:rPr>
          <w:b/>
          <w:highlight w:val="none"/>
        </w:rPr>
      </w:pPr>
      <w:r>
        <w:rPr>
          <w:rFonts w:hint="eastAsia"/>
          <w:b/>
          <w:highlight w:val="none"/>
        </w:rPr>
        <w:t>1.3设备验收</w:t>
      </w:r>
    </w:p>
    <w:p w14:paraId="1C59733F">
      <w:pPr>
        <w:spacing w:line="480" w:lineRule="exact"/>
        <w:ind w:firstLine="480"/>
        <w:rPr>
          <w:highlight w:val="none"/>
        </w:rPr>
      </w:pPr>
      <w:r>
        <w:rPr>
          <w:rFonts w:hint="eastAsia"/>
          <w:highlight w:val="none"/>
        </w:rPr>
        <w:t>1.3.1招标人、监理单位将在交货地点根据货物清单对其进行检查收到的数量、包装情况及运输和装卸中是否引起损坏和丢失，若招标人认为有必要进行抽样检验，将根据技术条件要求进行抽样检验，投标人有权参加检验。作为检验结果，如果数量、质量不满足合同要求以及损坏、丢失，投标人应根据买方的要求免费进行更换，并承担抽样试验费用。</w:t>
      </w:r>
    </w:p>
    <w:p w14:paraId="73F6EA9E">
      <w:pPr>
        <w:spacing w:line="480" w:lineRule="exact"/>
        <w:ind w:firstLine="480"/>
        <w:rPr>
          <w:highlight w:val="none"/>
        </w:rPr>
      </w:pPr>
      <w:r>
        <w:rPr>
          <w:rFonts w:hint="eastAsia"/>
          <w:highlight w:val="none"/>
        </w:rPr>
        <w:t>1.3.2招标人、监理单位根据合同规定的内容和验收标准进行验收并出具的检验证明，该证明作为最终付款所需文件的组成部分。</w:t>
      </w:r>
    </w:p>
    <w:p w14:paraId="5508DDD4">
      <w:pPr>
        <w:spacing w:line="480" w:lineRule="exact"/>
        <w:ind w:firstLine="480"/>
        <w:rPr>
          <w:highlight w:val="none"/>
        </w:rPr>
      </w:pPr>
      <w:bookmarkStart w:id="67" w:name="OLE_LINK62"/>
      <w:bookmarkStart w:id="68" w:name="OLE_LINK50"/>
      <w:r>
        <w:rPr>
          <w:rFonts w:hint="eastAsia"/>
          <w:highlight w:val="none"/>
        </w:rPr>
        <w:t>1.3.3招标人应于安装调试结束30日内组织设备验收，</w:t>
      </w:r>
      <w:r>
        <w:rPr>
          <w:rFonts w:ascii="宋体" w:hAnsi="宋体"/>
          <w:highlight w:val="none"/>
        </w:rPr>
        <w:t>所有设备性能均须达到</w:t>
      </w:r>
      <w:r>
        <w:rPr>
          <w:rFonts w:hint="eastAsia" w:ascii="宋体" w:hAnsi="宋体"/>
          <w:highlight w:val="none"/>
        </w:rPr>
        <w:t>投标方</w:t>
      </w:r>
      <w:r>
        <w:rPr>
          <w:rFonts w:ascii="宋体" w:hAnsi="宋体"/>
          <w:highlight w:val="none"/>
        </w:rPr>
        <w:t>提供的设计参数、产品规格参数及国家和行业相关规范与标准的要求。</w:t>
      </w:r>
      <w:r>
        <w:rPr>
          <w:rFonts w:hint="eastAsia"/>
          <w:highlight w:val="none"/>
        </w:rPr>
        <w:t>如非因投标方原因，招标人未能在安装调试结束后30日内组织验收，则该30日届满次日视为设备进入试运行期，但不免除投标方保证设备达到技术规格要求的最终责任。最终验收合格应以性能考核通过为准。</w:t>
      </w:r>
    </w:p>
    <w:bookmarkEnd w:id="67"/>
    <w:bookmarkEnd w:id="68"/>
    <w:p w14:paraId="3A5420CA">
      <w:pPr>
        <w:spacing w:line="480" w:lineRule="exact"/>
        <w:ind w:firstLine="482"/>
        <w:rPr>
          <w:b/>
          <w:highlight w:val="none"/>
        </w:rPr>
      </w:pPr>
      <w:r>
        <w:rPr>
          <w:rFonts w:hint="eastAsia"/>
          <w:b/>
          <w:highlight w:val="none"/>
        </w:rPr>
        <w:t>1.4指导试运行</w:t>
      </w:r>
    </w:p>
    <w:p w14:paraId="081DC97E">
      <w:pPr>
        <w:spacing w:line="480" w:lineRule="exact"/>
        <w:ind w:firstLine="480"/>
        <w:rPr>
          <w:b/>
          <w:highlight w:val="none"/>
        </w:rPr>
      </w:pPr>
      <w:r>
        <w:rPr>
          <w:rFonts w:hint="eastAsia"/>
          <w:highlight w:val="none"/>
        </w:rPr>
        <w:t>1.4.1设备安装调试验收后，由招标人相关人员在投标人技术人员指导下进行试运行，投标人必须保证在试运行期一直有技术人员在现场，投标人自行负责其现场技术人员的一切费用。</w:t>
      </w:r>
      <w:r>
        <w:rPr>
          <w:rFonts w:hint="eastAsia"/>
          <w:b/>
          <w:highlight w:val="none"/>
        </w:rPr>
        <w:t>指导试运行期限6个月。</w:t>
      </w:r>
    </w:p>
    <w:p w14:paraId="0E1A26D7">
      <w:pPr>
        <w:spacing w:line="480" w:lineRule="exact"/>
        <w:ind w:firstLine="482"/>
        <w:rPr>
          <w:b/>
          <w:highlight w:val="none"/>
        </w:rPr>
      </w:pPr>
      <w:r>
        <w:rPr>
          <w:rFonts w:hint="eastAsia"/>
          <w:b/>
          <w:highlight w:val="none"/>
        </w:rPr>
        <w:t>1.5质保期（缺陷责任期）</w:t>
      </w:r>
    </w:p>
    <w:p w14:paraId="55F30083">
      <w:pPr>
        <w:spacing w:line="480" w:lineRule="exact"/>
        <w:ind w:firstLine="482"/>
        <w:rPr>
          <w:highlight w:val="none"/>
        </w:rPr>
      </w:pPr>
      <w:r>
        <w:rPr>
          <w:rFonts w:hint="eastAsia"/>
          <w:b/>
          <w:highlight w:val="none"/>
        </w:rPr>
        <w:t>1.5.1本项目质保期为两年（24个月），</w:t>
      </w:r>
      <w:r>
        <w:rPr>
          <w:rFonts w:hint="eastAsia"/>
          <w:highlight w:val="none"/>
        </w:rPr>
        <w:t>自设备最终验收合格之日起开始计算。投标人负责修复质保期内设备因质量缺陷产生的一切问题。</w:t>
      </w:r>
      <w:bookmarkEnd w:id="0"/>
      <w:bookmarkEnd w:id="1"/>
    </w:p>
    <w:p w14:paraId="11CA5C4F">
      <w:pPr>
        <w:spacing w:line="480" w:lineRule="exact"/>
        <w:ind w:firstLine="480"/>
        <w:rPr>
          <w:highlight w:val="none"/>
        </w:rPr>
      </w:pPr>
      <w:r>
        <w:rPr>
          <w:rFonts w:hint="eastAsia"/>
          <w:highlight w:val="none"/>
        </w:rPr>
        <w:t>1.5.2质保期内能耗承诺：要求中标人在质保期内，系统在额定处理量下运行，其单位综合能耗（如kWh/吨垃圾）不超过投标承诺值的110%。</w:t>
      </w:r>
    </w:p>
    <w:p w14:paraId="4E65E396">
      <w:pPr>
        <w:ind w:firstLine="480"/>
        <w:rPr>
          <w:highlight w:val="none"/>
        </w:rPr>
      </w:pPr>
    </w:p>
    <w:p w14:paraId="3A1E2342">
      <w:pPr>
        <w:pStyle w:val="2"/>
        <w:ind w:firstLine="480"/>
        <w:rPr>
          <w:highlight w:val="none"/>
        </w:rPr>
      </w:pPr>
    </w:p>
    <w:p w14:paraId="617E432A">
      <w:pPr>
        <w:pStyle w:val="3"/>
        <w:ind w:firstLine="240"/>
        <w:rPr>
          <w:highlight w:val="none"/>
        </w:rPr>
      </w:pPr>
    </w:p>
    <w:p w14:paraId="15E18D11">
      <w:pPr>
        <w:pStyle w:val="4"/>
        <w:ind w:left="2400"/>
        <w:rPr>
          <w:rFonts w:eastAsia="宋体"/>
          <w:highlight w:val="none"/>
        </w:rPr>
      </w:pPr>
    </w:p>
    <w:p w14:paraId="046E816D">
      <w:pPr>
        <w:ind w:firstLine="480"/>
        <w:rPr>
          <w:highlight w:val="none"/>
        </w:rPr>
      </w:pPr>
    </w:p>
    <w:p w14:paraId="6436C56F">
      <w:pPr>
        <w:pStyle w:val="2"/>
        <w:ind w:firstLine="480"/>
        <w:rPr>
          <w:highlight w:val="none"/>
        </w:rPr>
      </w:pPr>
    </w:p>
    <w:p w14:paraId="3B526CA2">
      <w:pPr>
        <w:pStyle w:val="3"/>
        <w:ind w:firstLine="240"/>
        <w:rPr>
          <w:highlight w:val="none"/>
        </w:rPr>
      </w:pPr>
    </w:p>
    <w:p w14:paraId="4411F09D">
      <w:pPr>
        <w:pStyle w:val="4"/>
        <w:ind w:left="2400"/>
        <w:rPr>
          <w:rFonts w:eastAsia="宋体"/>
          <w:highlight w:val="none"/>
        </w:rPr>
      </w:pPr>
    </w:p>
    <w:p w14:paraId="784999A4">
      <w:pPr>
        <w:ind w:firstLine="480"/>
        <w:rPr>
          <w:highlight w:val="none"/>
        </w:rPr>
      </w:pPr>
    </w:p>
    <w:p w14:paraId="360DFFFC">
      <w:pPr>
        <w:pStyle w:val="2"/>
        <w:ind w:firstLine="480"/>
        <w:rPr>
          <w:highlight w:val="none"/>
        </w:rPr>
      </w:pPr>
    </w:p>
    <w:p w14:paraId="3499E277">
      <w:pPr>
        <w:pStyle w:val="3"/>
        <w:ind w:firstLine="240"/>
        <w:rPr>
          <w:highlight w:val="none"/>
        </w:rPr>
      </w:pPr>
    </w:p>
    <w:p w14:paraId="22CAB37D">
      <w:pPr>
        <w:pStyle w:val="3"/>
        <w:ind w:firstLine="0" w:firstLineChars="0"/>
        <w:rPr>
          <w:highlight w:val="none"/>
        </w:rPr>
      </w:pPr>
    </w:p>
    <w:p w14:paraId="7C43A0A3">
      <w:pPr>
        <w:ind w:firstLine="0" w:firstLineChars="0"/>
        <w:jc w:val="center"/>
        <w:rPr>
          <w:highlight w:val="none"/>
        </w:rPr>
      </w:pPr>
      <w:r>
        <w:rPr>
          <w:rFonts w:hint="eastAsia" w:ascii="宋体" w:hAnsi="宋体"/>
          <w:b/>
          <w:bCs/>
          <w:kern w:val="44"/>
          <w:sz w:val="32"/>
          <w:szCs w:val="32"/>
          <w:highlight w:val="none"/>
        </w:rPr>
        <w:t>第二章、大件园林、分拣设备技术参数要求</w:t>
      </w:r>
    </w:p>
    <w:p w14:paraId="6C146672">
      <w:pPr>
        <w:pStyle w:val="101"/>
        <w:numPr>
          <w:ilvl w:val="1"/>
          <w:numId w:val="0"/>
        </w:numPr>
        <w:rPr>
          <w:highlight w:val="none"/>
        </w:rPr>
      </w:pPr>
      <w:r>
        <w:rPr>
          <w:rFonts w:hint="eastAsia"/>
          <w:highlight w:val="none"/>
        </w:rPr>
        <w:t>一、工程概况</w:t>
      </w:r>
    </w:p>
    <w:p w14:paraId="0A007C9F">
      <w:pPr>
        <w:ind w:firstLine="480"/>
        <w:rPr>
          <w:highlight w:val="none"/>
        </w:rPr>
      </w:pPr>
      <w:r>
        <w:rPr>
          <w:rFonts w:hint="eastAsia"/>
          <w:highlight w:val="none"/>
        </w:rPr>
        <w:t>1.1项目名称：黄山市歙县城乡垃圾收集处理工程项目（设备部分）三标段</w:t>
      </w:r>
    </w:p>
    <w:p w14:paraId="20FC69DC">
      <w:pPr>
        <w:ind w:firstLine="480"/>
        <w:rPr>
          <w:highlight w:val="none"/>
        </w:rPr>
      </w:pPr>
      <w:r>
        <w:rPr>
          <w:rFonts w:hint="eastAsia"/>
          <w:highlight w:val="none"/>
        </w:rPr>
        <w:t>1.2建设单位：歙县城市管理局、歙县开投建设工程有限公司</w:t>
      </w:r>
    </w:p>
    <w:p w14:paraId="554A0FAC">
      <w:pPr>
        <w:ind w:firstLine="480"/>
        <w:rPr>
          <w:highlight w:val="none"/>
        </w:rPr>
      </w:pPr>
      <w:r>
        <w:rPr>
          <w:rFonts w:hint="eastAsia"/>
          <w:highlight w:val="none"/>
        </w:rPr>
        <w:t>1.3项目建设地点：黄山市歙县。</w:t>
      </w:r>
    </w:p>
    <w:p w14:paraId="3BAEA2A9">
      <w:pPr>
        <w:ind w:firstLine="480"/>
        <w:rPr>
          <w:highlight w:val="none"/>
        </w:rPr>
      </w:pPr>
      <w:r>
        <w:rPr>
          <w:rFonts w:hint="eastAsia"/>
          <w:highlight w:val="none"/>
        </w:rPr>
        <w:t>1.4总用地面积： 32700.8平方米（约 49.05亩）</w:t>
      </w:r>
    </w:p>
    <w:p w14:paraId="3FF32E8D">
      <w:pPr>
        <w:ind w:firstLine="480"/>
        <w:rPr>
          <w:highlight w:val="none"/>
        </w:rPr>
      </w:pPr>
      <w:r>
        <w:rPr>
          <w:rFonts w:hint="eastAsia"/>
          <w:highlight w:val="none"/>
        </w:rPr>
        <w:t>1.5项目规模：生活垃圾压缩转运规模200吨/天，餐厨垃圾处置规模30吨/天，再生资源分拣规模3万吨/年。</w:t>
      </w:r>
    </w:p>
    <w:p w14:paraId="2D603D26">
      <w:pPr>
        <w:ind w:firstLine="480"/>
        <w:rPr>
          <w:highlight w:val="none"/>
        </w:rPr>
      </w:pPr>
      <w:r>
        <w:rPr>
          <w:rFonts w:hint="eastAsia"/>
          <w:highlight w:val="none"/>
        </w:rPr>
        <w:t>1.6主要建设内容：包含新建生活垃圾转运及餐厨处置车间、再生资源分拣车间、渗滤液处理车间、管理用房及其他辅助配套设施，购置对应处置设备等。</w:t>
      </w:r>
    </w:p>
    <w:p w14:paraId="4E9E3E80">
      <w:pPr>
        <w:pStyle w:val="101"/>
        <w:numPr>
          <w:ilvl w:val="1"/>
          <w:numId w:val="0"/>
        </w:numPr>
        <w:rPr>
          <w:highlight w:val="none"/>
        </w:rPr>
      </w:pPr>
      <w:r>
        <w:rPr>
          <w:rFonts w:hint="eastAsia"/>
          <w:highlight w:val="none"/>
        </w:rPr>
        <w:t>二、招标范围及内容</w:t>
      </w:r>
    </w:p>
    <w:p w14:paraId="1605776B">
      <w:pPr>
        <w:ind w:firstLine="482"/>
        <w:rPr>
          <w:b/>
          <w:highlight w:val="none"/>
        </w:rPr>
      </w:pPr>
      <w:r>
        <w:rPr>
          <w:rFonts w:hint="eastAsia"/>
          <w:b/>
          <w:bCs/>
          <w:highlight w:val="none"/>
        </w:rPr>
        <w:t>★</w:t>
      </w:r>
      <w:r>
        <w:rPr>
          <w:rFonts w:hint="eastAsia"/>
          <w:b/>
          <w:highlight w:val="none"/>
        </w:rPr>
        <w:t>2.1招标内容为</w:t>
      </w:r>
      <w:bookmarkStart w:id="69" w:name="OLE_LINK160"/>
      <w:bookmarkStart w:id="70" w:name="OLE_LINK161"/>
      <w:r>
        <w:rPr>
          <w:rFonts w:hint="eastAsia"/>
          <w:b/>
          <w:highlight w:val="none"/>
        </w:rPr>
        <w:t>100t/d</w:t>
      </w:r>
      <w:bookmarkEnd w:id="69"/>
      <w:bookmarkEnd w:id="70"/>
      <w:r>
        <w:rPr>
          <w:rFonts w:hint="eastAsia"/>
          <w:b/>
          <w:highlight w:val="none"/>
        </w:rPr>
        <w:t>的再生资源分拣设备（其中大件园林成套处置设备1套，规模67t/d，可回收垃圾分拣设备一批，规模33t/d）的采购、运输和安装，工程的调试，操作人员的培训，指导试运行，直至通过招标方和设备验收（包括但不限于专家验收），以及后期对设备的运行指导和维修服务。</w:t>
      </w:r>
      <w:bookmarkStart w:id="71" w:name="OLE_LINK23"/>
      <w:r>
        <w:rPr>
          <w:rFonts w:hint="eastAsia"/>
          <w:b/>
          <w:highlight w:val="none"/>
        </w:rPr>
        <w:t>（提供承诺函）</w:t>
      </w:r>
      <w:bookmarkEnd w:id="71"/>
    </w:p>
    <w:p w14:paraId="048112DF">
      <w:pPr>
        <w:ind w:firstLine="480"/>
        <w:rPr>
          <w:highlight w:val="none"/>
        </w:rPr>
      </w:pPr>
      <w:r>
        <w:rPr>
          <w:rFonts w:hint="eastAsia"/>
          <w:highlight w:val="none"/>
        </w:rPr>
        <w:t>2.2在再生资源分拣车间西侧区域设置大件园林分拣车间，规模67吨/天，约20000吨/年。</w:t>
      </w:r>
    </w:p>
    <w:p w14:paraId="15B4CCAA">
      <w:pPr>
        <w:ind w:firstLine="480"/>
        <w:rPr>
          <w:highlight w:val="none"/>
        </w:rPr>
      </w:pPr>
      <w:bookmarkStart w:id="72" w:name="OLE_LINK21"/>
      <w:r>
        <w:rPr>
          <w:rFonts w:hint="eastAsia"/>
          <w:highlight w:val="none"/>
        </w:rPr>
        <w:t>2.3在再生资源分拣车间东南侧区域设置分拣车间，可分拣废纸4</w:t>
      </w:r>
      <w:r>
        <w:rPr>
          <w:highlight w:val="none"/>
        </w:rPr>
        <w:t>000t/a</w:t>
      </w:r>
      <w:r>
        <w:rPr>
          <w:rFonts w:hint="eastAsia"/>
          <w:highlight w:val="none"/>
        </w:rPr>
        <w:t>、废塑料30</w:t>
      </w:r>
      <w:r>
        <w:rPr>
          <w:highlight w:val="none"/>
        </w:rPr>
        <w:t>00t/a</w:t>
      </w:r>
      <w:r>
        <w:rPr>
          <w:rFonts w:hint="eastAsia"/>
          <w:highlight w:val="none"/>
        </w:rPr>
        <w:t>、废玻璃15</w:t>
      </w:r>
      <w:r>
        <w:rPr>
          <w:highlight w:val="none"/>
        </w:rPr>
        <w:t>00t/a</w:t>
      </w:r>
      <w:r>
        <w:rPr>
          <w:rFonts w:hint="eastAsia"/>
          <w:highlight w:val="none"/>
        </w:rPr>
        <w:t>、废泡沫150</w:t>
      </w:r>
      <w:r>
        <w:rPr>
          <w:highlight w:val="none"/>
        </w:rPr>
        <w:t>0t/a，合计</w:t>
      </w:r>
      <w:r>
        <w:rPr>
          <w:rFonts w:hint="eastAsia"/>
          <w:highlight w:val="none"/>
        </w:rPr>
        <w:t>10</w:t>
      </w:r>
      <w:r>
        <w:rPr>
          <w:highlight w:val="none"/>
        </w:rPr>
        <w:t>000吨/年，约</w:t>
      </w:r>
      <w:r>
        <w:rPr>
          <w:rFonts w:hint="eastAsia"/>
          <w:highlight w:val="none"/>
        </w:rPr>
        <w:t>33</w:t>
      </w:r>
      <w:r>
        <w:rPr>
          <w:highlight w:val="none"/>
        </w:rPr>
        <w:t>吨/天。采用</w:t>
      </w:r>
      <w:r>
        <w:rPr>
          <w:rFonts w:hint="eastAsia"/>
          <w:highlight w:val="none"/>
        </w:rPr>
        <w:t>“</w:t>
      </w:r>
      <w:r>
        <w:rPr>
          <w:highlight w:val="none"/>
        </w:rPr>
        <w:t>人工分拣+</w:t>
      </w:r>
      <w:r>
        <w:rPr>
          <w:rFonts w:hint="eastAsia"/>
          <w:highlight w:val="none"/>
        </w:rPr>
        <w:t>分类</w:t>
      </w:r>
      <w:r>
        <w:rPr>
          <w:highlight w:val="none"/>
        </w:rPr>
        <w:t>打包+分类暂存</w:t>
      </w:r>
      <w:r>
        <w:rPr>
          <w:rFonts w:hint="eastAsia"/>
          <w:highlight w:val="none"/>
        </w:rPr>
        <w:t>”</w:t>
      </w:r>
      <w:r>
        <w:rPr>
          <w:highlight w:val="none"/>
        </w:rPr>
        <w:t>的工艺，提高再生资源资源化利用率。</w:t>
      </w:r>
    </w:p>
    <w:bookmarkEnd w:id="72"/>
    <w:p w14:paraId="5CCBB151">
      <w:pPr>
        <w:ind w:firstLine="480"/>
        <w:rPr>
          <w:highlight w:val="none"/>
        </w:rPr>
      </w:pPr>
      <w:r>
        <w:rPr>
          <w:rFonts w:hint="eastAsia"/>
          <w:highlight w:val="none"/>
        </w:rPr>
        <w:t>2.4投标方应提供工艺先进、技术成熟、经济实用、性能可靠、便于维修、节电节水的水处理技术，布局应紧凑合理，既满足使用要求，又能有效节约占地及投资，且满足技术规格的要求，尽量减少人员劳动强度。</w:t>
      </w:r>
    </w:p>
    <w:p w14:paraId="4D3B78A5">
      <w:pPr>
        <w:ind w:firstLine="480"/>
        <w:rPr>
          <w:highlight w:val="none"/>
        </w:rPr>
      </w:pPr>
      <w:r>
        <w:rPr>
          <w:rFonts w:hint="eastAsia"/>
          <w:highlight w:val="none"/>
        </w:rPr>
        <w:t>2.5投标方须提供《产线系统运行能耗与成本估算分析报告》，至少包括各系统日均处理量下的水、电、润滑油等消耗量估算数据及能耗占比分析。</w:t>
      </w:r>
    </w:p>
    <w:p w14:paraId="581B8574">
      <w:pPr>
        <w:pStyle w:val="101"/>
        <w:numPr>
          <w:ilvl w:val="1"/>
          <w:numId w:val="0"/>
        </w:numPr>
        <w:rPr>
          <w:highlight w:val="none"/>
        </w:rPr>
      </w:pPr>
      <w:r>
        <w:rPr>
          <w:rFonts w:hint="eastAsia"/>
          <w:highlight w:val="none"/>
        </w:rPr>
        <w:t>三、总则</w:t>
      </w:r>
    </w:p>
    <w:p w14:paraId="1C1DB0E0">
      <w:pPr>
        <w:ind w:firstLine="480"/>
        <w:rPr>
          <w:highlight w:val="none"/>
        </w:rPr>
      </w:pPr>
      <w:r>
        <w:rPr>
          <w:rFonts w:hint="eastAsia"/>
          <w:highlight w:val="none"/>
        </w:rPr>
        <w:t>3.1本招标书涵盖所需成套设备的功能、结构、性能、安装、试验和运行等方面的技术要求，提出的是最低限度的技术要求，并未对一切技术细节作出规定，也未充分引用有关标准和规定，具体包括但不限于以下内容：</w:t>
      </w:r>
    </w:p>
    <w:p w14:paraId="532259E7">
      <w:pPr>
        <w:ind w:firstLine="480"/>
        <w:rPr>
          <w:highlight w:val="none"/>
        </w:rPr>
      </w:pPr>
      <w:r>
        <w:rPr>
          <w:rFonts w:hint="eastAsia"/>
          <w:highlight w:val="none"/>
        </w:rPr>
        <w:t>3.2投标人提供的设备保证运行稳定可靠，处理能力满足招标文件要求，系统具有合理性、先进性、自控程度、节能环保性特点，并要求满足国家相关法律法规及规范规定。</w:t>
      </w:r>
    </w:p>
    <w:p w14:paraId="2ACEB8B8">
      <w:pPr>
        <w:ind w:firstLine="480"/>
        <w:rPr>
          <w:highlight w:val="none"/>
        </w:rPr>
      </w:pPr>
      <w:r>
        <w:rPr>
          <w:rFonts w:hint="eastAsia"/>
          <w:highlight w:val="none"/>
        </w:rPr>
        <w:t>3.3投标人提供的工艺系统应满足本项目垃圾处置能力要求等。</w:t>
      </w:r>
    </w:p>
    <w:p w14:paraId="21EEE1ED">
      <w:pPr>
        <w:ind w:firstLine="480"/>
        <w:rPr>
          <w:highlight w:val="none"/>
        </w:rPr>
      </w:pPr>
      <w:r>
        <w:rPr>
          <w:rFonts w:hint="eastAsia"/>
          <w:highlight w:val="none"/>
        </w:rPr>
        <w:t>3.4投标人提供适合本项目垃圾处置系统优化设计、非标设备制造、标准设备、阀门、仪器仪表、主辅材料采购、运输、安装、工程检验、调试、指导运行竣工验收及技术培训。</w:t>
      </w:r>
    </w:p>
    <w:p w14:paraId="3E1804BC">
      <w:pPr>
        <w:ind w:firstLine="480"/>
        <w:rPr>
          <w:highlight w:val="none"/>
        </w:rPr>
      </w:pPr>
      <w:r>
        <w:rPr>
          <w:rFonts w:hint="eastAsia"/>
          <w:highlight w:val="none"/>
        </w:rPr>
        <w:t>3.5投标人应以本招标文件所列的供货清单为基础进行深化完善，但不局限于供货清单中所列设备和系统，清单中依次说明规格、数量、生产厂家等内容。对于属于整套设备运行和施工所必需的部件，即使设备清单中未列出或数量不足，投标人仍须在执行合同时补足，费用不再另行增加。</w:t>
      </w:r>
    </w:p>
    <w:p w14:paraId="2FDAD97F">
      <w:pPr>
        <w:ind w:firstLine="480"/>
        <w:rPr>
          <w:highlight w:val="none"/>
        </w:rPr>
      </w:pPr>
      <w:r>
        <w:rPr>
          <w:rFonts w:hint="eastAsia"/>
          <w:highlight w:val="none"/>
        </w:rPr>
        <w:t>3.6投标人应提供所有安装和检修的专用工具，应提供质保期内所需的备品备件及缺陷责任期所需的备品备件清单，费用不再另行增加。</w:t>
      </w:r>
    </w:p>
    <w:p w14:paraId="73E9969C">
      <w:pPr>
        <w:ind w:firstLine="480"/>
        <w:rPr>
          <w:highlight w:val="none"/>
        </w:rPr>
      </w:pPr>
      <w:r>
        <w:rPr>
          <w:rFonts w:hint="eastAsia"/>
          <w:highlight w:val="none"/>
        </w:rPr>
        <w:t>3.7中标人应提供成套设备的工艺详细设计图纸及满足设计院要求的交接图纸。</w:t>
      </w:r>
    </w:p>
    <w:p w14:paraId="4CB3AB83">
      <w:pPr>
        <w:ind w:firstLine="480"/>
        <w:rPr>
          <w:highlight w:val="none"/>
        </w:rPr>
      </w:pPr>
      <w:r>
        <w:rPr>
          <w:rFonts w:hint="eastAsia"/>
          <w:highlight w:val="none"/>
        </w:rPr>
        <w:t>3.8成套设备电控柜及以下部分属于中标人范围，中标人负责全部电气设备的所有系统电气连接、控制柜或箱的设计、供货及安装。供货不仅包含电气设备，还包括电缆及敷设电缆的桥架等材料、耗材，所供设备与工艺设备之间的电缆连接等电气安装及调试、培训内容。</w:t>
      </w:r>
    </w:p>
    <w:p w14:paraId="3335C7DA">
      <w:pPr>
        <w:ind w:firstLine="480"/>
        <w:rPr>
          <w:highlight w:val="none"/>
        </w:rPr>
      </w:pPr>
      <w:r>
        <w:rPr>
          <w:rFonts w:hint="eastAsia"/>
          <w:highlight w:val="none"/>
        </w:rPr>
        <w:t>3.9中标人负责成套设备全部仪表及控制设备的连接、控制柜或箱的设计、供货及安装。供货不仅包含仪表及控制设备，还包括电缆及敷设电缆的桥架等材料、耗材，所供设备与工艺设备之间的电缆连接等仪表及控制设备安装及调试、培训内容</w:t>
      </w:r>
    </w:p>
    <w:p w14:paraId="23128B48">
      <w:pPr>
        <w:ind w:firstLine="480"/>
        <w:rPr>
          <w:highlight w:val="none"/>
        </w:rPr>
      </w:pPr>
      <w:r>
        <w:rPr>
          <w:rFonts w:hint="eastAsia"/>
          <w:highlight w:val="none"/>
        </w:rPr>
        <w:t>3.10招标人对投标人提供的资料确认，并不能解除或减轻投标人对技术协议所有条款应付的责任。</w:t>
      </w:r>
    </w:p>
    <w:p w14:paraId="2E29762B">
      <w:pPr>
        <w:ind w:firstLine="480"/>
        <w:rPr>
          <w:highlight w:val="none"/>
        </w:rPr>
      </w:pPr>
      <w:r>
        <w:rPr>
          <w:rFonts w:hint="eastAsia"/>
          <w:highlight w:val="none"/>
        </w:rPr>
        <w:t>3.11系统设计原则：</w:t>
      </w:r>
    </w:p>
    <w:p w14:paraId="22DF70E0">
      <w:pPr>
        <w:ind w:firstLine="480"/>
        <w:rPr>
          <w:highlight w:val="none"/>
        </w:rPr>
      </w:pPr>
      <w:r>
        <w:rPr>
          <w:rFonts w:hint="eastAsia"/>
          <w:highlight w:val="none"/>
        </w:rPr>
        <w:t>3.11.1工艺路线合理、适用、可行，保证系统一次性开车成功；</w:t>
      </w:r>
    </w:p>
    <w:p w14:paraId="07EDA7F8">
      <w:pPr>
        <w:ind w:firstLine="480"/>
        <w:rPr>
          <w:highlight w:val="none"/>
        </w:rPr>
      </w:pPr>
      <w:r>
        <w:rPr>
          <w:rFonts w:hint="eastAsia"/>
          <w:highlight w:val="none"/>
        </w:rPr>
        <w:t>3.11.2系统能够连续稳定运行；</w:t>
      </w:r>
    </w:p>
    <w:p w14:paraId="5868F030">
      <w:pPr>
        <w:ind w:firstLine="480"/>
        <w:rPr>
          <w:highlight w:val="none"/>
        </w:rPr>
      </w:pPr>
      <w:r>
        <w:rPr>
          <w:rFonts w:hint="eastAsia"/>
          <w:highlight w:val="none"/>
        </w:rPr>
        <w:t>3.11.3过程设备技术成熟、质量过硬、安全可靠；</w:t>
      </w:r>
    </w:p>
    <w:p w14:paraId="26094F35">
      <w:pPr>
        <w:ind w:firstLine="480"/>
        <w:rPr>
          <w:highlight w:val="none"/>
        </w:rPr>
      </w:pPr>
      <w:r>
        <w:rPr>
          <w:rFonts w:hint="eastAsia"/>
          <w:highlight w:val="none"/>
        </w:rPr>
        <w:t>3.11.4充分考虑节能设计，降低运行成本和系统投资；</w:t>
      </w:r>
    </w:p>
    <w:p w14:paraId="3B870C61">
      <w:pPr>
        <w:ind w:firstLine="480"/>
        <w:rPr>
          <w:highlight w:val="none"/>
        </w:rPr>
      </w:pPr>
      <w:r>
        <w:rPr>
          <w:rFonts w:hint="eastAsia"/>
          <w:highlight w:val="none"/>
        </w:rPr>
        <w:t>3.11.5系统操作简单，控制精准。</w:t>
      </w:r>
    </w:p>
    <w:p w14:paraId="16404CC9">
      <w:pPr>
        <w:ind w:firstLine="480"/>
        <w:rPr>
          <w:highlight w:val="none"/>
        </w:rPr>
      </w:pPr>
      <w:r>
        <w:rPr>
          <w:rFonts w:hint="eastAsia"/>
          <w:highlight w:val="none"/>
        </w:rPr>
        <w:t>3.12处理工艺等允许中标单位进一步优化，但优化方案须经过设计单位确认后方可施工。</w:t>
      </w:r>
    </w:p>
    <w:p w14:paraId="545DCEFC">
      <w:pPr>
        <w:ind w:firstLine="480"/>
        <w:rPr>
          <w:highlight w:val="none"/>
        </w:rPr>
      </w:pPr>
      <w:r>
        <w:rPr>
          <w:rFonts w:hint="eastAsia"/>
          <w:highlight w:val="none"/>
        </w:rPr>
        <w:t>3.13投标人所供设备需充分考虑招标方地址的气象条件和其它环境条件的要求，安装在室外的设备应考虑防雨、防冻和防风防沙措施，满足处理系统稳定、连续、经济运行的要求。</w:t>
      </w:r>
    </w:p>
    <w:p w14:paraId="1F853BE0">
      <w:pPr>
        <w:ind w:firstLine="480"/>
        <w:rPr>
          <w:highlight w:val="none"/>
        </w:rPr>
      </w:pPr>
      <w:r>
        <w:rPr>
          <w:rFonts w:hint="eastAsia"/>
          <w:highlight w:val="none"/>
        </w:rPr>
        <w:t>3.14投标人应根据成套设备所处的环境条件和处理的工艺介质，选择合适的材料和防腐措施，以保证装置（包括设备、管道及各种建构筑物）的使用寿命。</w:t>
      </w:r>
    </w:p>
    <w:p w14:paraId="34C79D0C">
      <w:pPr>
        <w:ind w:firstLine="482"/>
        <w:rPr>
          <w:b/>
          <w:bCs/>
          <w:highlight w:val="none"/>
        </w:rPr>
      </w:pPr>
      <w:r>
        <w:rPr>
          <w:rFonts w:hint="eastAsia"/>
          <w:b/>
          <w:bCs/>
          <w:highlight w:val="none"/>
        </w:rPr>
        <w:t>★3.15风机需配置变频器，并具备根据负荷自动调节频率的功能（提供承诺函上传至电子投标文件中）。</w:t>
      </w:r>
    </w:p>
    <w:p w14:paraId="56B7963D">
      <w:pPr>
        <w:ind w:firstLine="480"/>
        <w:rPr>
          <w:highlight w:val="none"/>
        </w:rPr>
      </w:pPr>
      <w:r>
        <w:rPr>
          <w:rFonts w:hint="eastAsia"/>
          <w:highlight w:val="none"/>
        </w:rPr>
        <w:t>3.16投标人提供的关键设备的能效等级要求。风机：如设备中的离心通风机、轴流通风机等，需符合《通风机能效限定值及能效等级》（GB19761），要求风机效率不低于 2 级能效水平。电机：像设备中用于搅拌、输送等功能的三相异步电动机，需遵循《中小型三相异步电动机能效限定值及能效等级》（GB18613）。锅炉：需符合《工业锅炉能效限定值及能效等级》（GB24500），节能改造后需达到不低于 2 级的能效水平。</w:t>
      </w:r>
    </w:p>
    <w:p w14:paraId="723221DC">
      <w:pPr>
        <w:pStyle w:val="101"/>
        <w:numPr>
          <w:ilvl w:val="1"/>
          <w:numId w:val="0"/>
        </w:numPr>
        <w:rPr>
          <w:highlight w:val="none"/>
        </w:rPr>
      </w:pPr>
      <w:r>
        <w:rPr>
          <w:rFonts w:hint="eastAsia"/>
          <w:highlight w:val="none"/>
        </w:rPr>
        <w:t>四、施工分界</w:t>
      </w:r>
    </w:p>
    <w:p w14:paraId="75EB06F9">
      <w:pPr>
        <w:ind w:firstLine="480"/>
        <w:rPr>
          <w:highlight w:val="none"/>
        </w:rPr>
      </w:pPr>
      <w:r>
        <w:rPr>
          <w:rFonts w:hint="eastAsia"/>
          <w:highlight w:val="none"/>
        </w:rPr>
        <w:t>4.1在工程的计划及建造期间，承包人应与其他承包人及其成员合作、协调，以免耽误工程进展，并应保证所有工程高效率完成。</w:t>
      </w:r>
    </w:p>
    <w:p w14:paraId="44F08075">
      <w:pPr>
        <w:spacing w:line="480" w:lineRule="auto"/>
        <w:ind w:firstLine="480"/>
        <w:rPr>
          <w:highlight w:val="none"/>
        </w:rPr>
      </w:pPr>
      <w:r>
        <w:rPr>
          <w:rFonts w:hint="eastAsia"/>
          <w:highlight w:val="none"/>
        </w:rPr>
        <w:t>4.2承包人应及时向业主提供与其他承包人及公共管理机构协调中的所有问题，并协助业主共同解决。</w:t>
      </w:r>
    </w:p>
    <w:p w14:paraId="6BA7EDC9">
      <w:pPr>
        <w:ind w:firstLine="480"/>
        <w:rPr>
          <w:highlight w:val="none"/>
        </w:rPr>
      </w:pPr>
      <w:r>
        <w:rPr>
          <w:rFonts w:hint="eastAsia"/>
          <w:highlight w:val="none"/>
        </w:rPr>
        <w:t>4.3基础、预埋、开孔、井等相关分界：</w:t>
      </w:r>
    </w:p>
    <w:p w14:paraId="7C09BF09">
      <w:pPr>
        <w:ind w:firstLine="480"/>
        <w:rPr>
          <w:highlight w:val="none"/>
        </w:rPr>
      </w:pPr>
      <w:r>
        <w:rPr>
          <w:rFonts w:hint="eastAsia"/>
          <w:highlight w:val="none"/>
        </w:rPr>
        <w:t>4.3.1预埋套管、预埋件（螺栓）由相应土建单位供货，投标人负责现场指导土建单位安装。电缆沟、穿线井、预留孔洞等由土建单位供货及施工。设备基础由土建单位供货及施工，相应设备单位现场指导。工艺管道孔洞回堵由投标人负责。</w:t>
      </w:r>
    </w:p>
    <w:p w14:paraId="07849029">
      <w:pPr>
        <w:ind w:firstLine="480"/>
        <w:rPr>
          <w:highlight w:val="none"/>
        </w:rPr>
      </w:pPr>
      <w:r>
        <w:rPr>
          <w:rFonts w:hint="eastAsia"/>
          <w:highlight w:val="none"/>
        </w:rPr>
        <w:t>4.3.2与电气系统的分界面</w:t>
      </w:r>
    </w:p>
    <w:p w14:paraId="2E6752E9">
      <w:pPr>
        <w:ind w:firstLine="480"/>
        <w:rPr>
          <w:highlight w:val="none"/>
        </w:rPr>
      </w:pPr>
      <w:r>
        <w:rPr>
          <w:rFonts w:hint="eastAsia"/>
          <w:highlight w:val="none"/>
        </w:rPr>
        <w:t>4.3.2.1对于和本项目有接口关系的土建标，投标人有责任向对方提供属本标书范围内的接口设备的资料及文件，明确提出技术要求，并有责任协助对方完成和复核各设备的接口工作。</w:t>
      </w:r>
    </w:p>
    <w:p w14:paraId="1D0E61BC">
      <w:pPr>
        <w:ind w:firstLine="480"/>
        <w:rPr>
          <w:highlight w:val="none"/>
        </w:rPr>
      </w:pPr>
      <w:r>
        <w:rPr>
          <w:rFonts w:hint="eastAsia"/>
          <w:highlight w:val="none"/>
        </w:rPr>
        <w:t>4.3.2.2以工艺成套系统设备配电柜的进线开关为界，进线开关及以下（含成套控制柜、配电柜、控制按钮箱、电缆、管道、管架、桥架、吊架、支架）由投标方成套供应并安装。</w:t>
      </w:r>
    </w:p>
    <w:p w14:paraId="683AD3D3">
      <w:pPr>
        <w:ind w:firstLine="480"/>
        <w:rPr>
          <w:highlight w:val="none"/>
        </w:rPr>
      </w:pPr>
      <w:r>
        <w:rPr>
          <w:rFonts w:hint="eastAsia"/>
          <w:highlight w:val="none"/>
        </w:rPr>
        <w:t>4.3.2.3接地系统（工作接地，保护接地等）以接地预埋连接件为界，界面以上接地连接线、电缆支架接地以及各设备接地由投标方负责；其余内容（包括接地预埋连接板、利用构筑物自然金属体的接地装置以及构筑物防雷保护装置）属土建标的合同范围。</w:t>
      </w:r>
    </w:p>
    <w:p w14:paraId="7F13466E">
      <w:pPr>
        <w:ind w:firstLine="480"/>
        <w:rPr>
          <w:highlight w:val="none"/>
        </w:rPr>
      </w:pPr>
      <w:r>
        <w:rPr>
          <w:rFonts w:hint="eastAsia"/>
          <w:highlight w:val="none"/>
        </w:rPr>
        <w:t>4.3.3与其他施工内容的分界面</w:t>
      </w:r>
    </w:p>
    <w:p w14:paraId="6361EF4D">
      <w:pPr>
        <w:ind w:firstLine="480"/>
        <w:rPr>
          <w:highlight w:val="none"/>
        </w:rPr>
      </w:pPr>
      <w:r>
        <w:rPr>
          <w:rFonts w:hint="eastAsia"/>
          <w:highlight w:val="none"/>
        </w:rPr>
        <w:t>4.3.3.1本部分施工包括但不仅限于以下内容：</w:t>
      </w:r>
    </w:p>
    <w:p w14:paraId="7575476D">
      <w:pPr>
        <w:ind w:firstLine="480"/>
        <w:rPr>
          <w:highlight w:val="none"/>
        </w:rPr>
      </w:pPr>
      <w:r>
        <w:rPr>
          <w:rFonts w:hint="eastAsia"/>
          <w:highlight w:val="none"/>
        </w:rPr>
        <w:t>（1）工艺设备给排水设施属土建施工范围，设备相关给水、排水由投标方提出条件需求图，土建方需将供、排水点接至投标人指定地点，并预留阀门接口.</w:t>
      </w:r>
    </w:p>
    <w:p w14:paraId="63678CBC">
      <w:pPr>
        <w:ind w:firstLine="480"/>
        <w:rPr>
          <w:highlight w:val="none"/>
        </w:rPr>
      </w:pPr>
      <w:r>
        <w:rPr>
          <w:rFonts w:hint="eastAsia"/>
          <w:highlight w:val="none"/>
        </w:rPr>
        <w:t>（2）从供、排水点指定地点接至设备用水电、排水点的管道阀门及施工由投标方负责。</w:t>
      </w:r>
    </w:p>
    <w:p w14:paraId="26038BC8">
      <w:pPr>
        <w:pStyle w:val="101"/>
        <w:numPr>
          <w:ilvl w:val="1"/>
          <w:numId w:val="0"/>
        </w:numPr>
        <w:rPr>
          <w:highlight w:val="none"/>
        </w:rPr>
      </w:pPr>
      <w:r>
        <w:rPr>
          <w:rFonts w:hint="eastAsia"/>
          <w:highlight w:val="none"/>
        </w:rPr>
        <w:t>五、大件园林垃圾处置技术参数要求</w:t>
      </w:r>
    </w:p>
    <w:p w14:paraId="7799F86B">
      <w:pPr>
        <w:pStyle w:val="103"/>
        <w:numPr>
          <w:ilvl w:val="2"/>
          <w:numId w:val="0"/>
        </w:numPr>
        <w:ind w:firstLine="426"/>
        <w:rPr>
          <w:highlight w:val="none"/>
        </w:rPr>
      </w:pPr>
      <w:r>
        <w:rPr>
          <w:rFonts w:hint="eastAsia"/>
          <w:highlight w:val="none"/>
        </w:rPr>
        <w:t>5.1运行时间及生产线配置</w:t>
      </w:r>
    </w:p>
    <w:p w14:paraId="4911C46D">
      <w:pPr>
        <w:ind w:firstLine="480"/>
        <w:rPr>
          <w:highlight w:val="none"/>
        </w:rPr>
      </w:pPr>
      <w:r>
        <w:rPr>
          <w:rFonts w:hint="eastAsia"/>
          <w:highlight w:val="none"/>
        </w:rPr>
        <w:t>5.1.1生产线配置：设置1条大件园林垃圾处置产线。</w:t>
      </w:r>
    </w:p>
    <w:p w14:paraId="6C898361">
      <w:pPr>
        <w:ind w:firstLine="480"/>
        <w:rPr>
          <w:highlight w:val="none"/>
        </w:rPr>
      </w:pPr>
      <w:r>
        <w:rPr>
          <w:rFonts w:hint="eastAsia"/>
          <w:highlight w:val="none"/>
        </w:rPr>
        <w:t>5.1.2运行班次：采用1班生产，每班8小时，有效工作时间按8小时/天。运行时间300天/年。</w:t>
      </w:r>
    </w:p>
    <w:p w14:paraId="3A0681E1">
      <w:pPr>
        <w:pStyle w:val="103"/>
        <w:numPr>
          <w:ilvl w:val="2"/>
          <w:numId w:val="0"/>
        </w:numPr>
        <w:ind w:firstLine="426"/>
        <w:rPr>
          <w:highlight w:val="none"/>
        </w:rPr>
      </w:pPr>
      <w:r>
        <w:rPr>
          <w:rFonts w:hint="eastAsia"/>
          <w:highlight w:val="none"/>
        </w:rPr>
        <w:t>5.2物料性质</w:t>
      </w:r>
    </w:p>
    <w:p w14:paraId="13EF4F2A">
      <w:pPr>
        <w:ind w:firstLine="480"/>
        <w:rPr>
          <w:highlight w:val="none"/>
        </w:rPr>
      </w:pPr>
      <w:r>
        <w:rPr>
          <w:rFonts w:hint="eastAsia"/>
          <w:highlight w:val="none"/>
        </w:rPr>
        <w:t>5.2.1</w:t>
      </w:r>
      <w:r>
        <w:rPr>
          <w:highlight w:val="none"/>
        </w:rPr>
        <w:t>大件垃圾物料</w:t>
      </w:r>
    </w:p>
    <w:p w14:paraId="7EE4A4FF">
      <w:pPr>
        <w:ind w:firstLine="480"/>
        <w:rPr>
          <w:highlight w:val="none"/>
        </w:rPr>
      </w:pPr>
      <w:r>
        <w:rPr>
          <w:rFonts w:hint="eastAsia"/>
          <w:highlight w:val="none"/>
        </w:rPr>
        <w:t>5.2.1.1</w:t>
      </w:r>
      <w:r>
        <w:rPr>
          <w:highlight w:val="none"/>
        </w:rPr>
        <w:t>随着城镇化进程的快速推进，和人们生活水平的不断提供。大件垃圾已成为城市管理的新的困扰。大件垃圾是指体积较大、整体性强，需要拆分再处理的废弃物品。主要包括废旧家具，如沙发、床垫、衣柜等。</w:t>
      </w:r>
    </w:p>
    <w:p w14:paraId="18062D64">
      <w:pPr>
        <w:ind w:firstLine="480"/>
        <w:rPr>
          <w:highlight w:val="none"/>
        </w:rPr>
      </w:pPr>
      <w:r>
        <w:rPr>
          <w:rFonts w:hint="eastAsia"/>
          <w:highlight w:val="none"/>
        </w:rPr>
        <w:t>5.2.1.2</w:t>
      </w:r>
      <w:r>
        <w:rPr>
          <w:highlight w:val="none"/>
        </w:rPr>
        <w:t>废旧家具主要以木质材料和纤维材料为主，具有较高的转移使用和重组循环使用价值。转移使用价值是指有些家具其实还可以继续使用，只是原来的使用者为了改善生活条件而准备淘汰，但是对于广大贫困地区或特殊需求（历史价值和艺术价值追求等）的人们而言也许还具有相当的使用价值。对他们而言，老家具可以发挥新作用，意义重大。重组价值是指有些废旧家具中某些零部件已经完全失去用途，但另外一些零部件还可以继续使用，于是，可以将其中可用部分取出来，进行重新组合，诞生出一些新的、重组后的家具。</w:t>
      </w:r>
    </w:p>
    <w:p w14:paraId="2FE5DE44">
      <w:pPr>
        <w:ind w:firstLine="480"/>
        <w:rPr>
          <w:highlight w:val="none"/>
        </w:rPr>
      </w:pPr>
      <w:r>
        <w:rPr>
          <w:rFonts w:hint="eastAsia"/>
          <w:highlight w:val="none"/>
        </w:rPr>
        <w:t>5.2.2</w:t>
      </w:r>
      <w:r>
        <w:rPr>
          <w:highlight w:val="none"/>
        </w:rPr>
        <w:t>园林垃圾物料</w:t>
      </w:r>
    </w:p>
    <w:p w14:paraId="5C8EBD8C">
      <w:pPr>
        <w:ind w:firstLine="480"/>
        <w:rPr>
          <w:highlight w:val="none"/>
        </w:rPr>
      </w:pPr>
      <w:r>
        <w:rPr>
          <w:rFonts w:hint="eastAsia"/>
          <w:highlight w:val="none"/>
        </w:rPr>
        <w:t>5.2.2.1</w:t>
      </w:r>
      <w:r>
        <w:rPr>
          <w:highlight w:val="none"/>
        </w:rPr>
        <w:t>园林垃圾，也称为绿色垃圾或园林植物废弃物，主要是指园林植物自然凋落或人工修剪所产生的植物残体，主要包括树叶、草屑、树木与灌木剪枝等，其主要成分为木质纤维。随着城市绿化覆盖率的不断上升，园林植物废弃物的数量日益增加，如果任意处理，不仅影响城市面貌，而且还可能引起环境污染。同时，这些园林绿化废弃物因含有丰富的有机物和营养物而不同于日常生活、医用、工业生产等垃圾。因此园林绿化废弃物资源的再利用，已成为极具生态价值及经济价值的关注焦点。</w:t>
      </w:r>
    </w:p>
    <w:p w14:paraId="57E089DA">
      <w:pPr>
        <w:ind w:firstLine="480"/>
        <w:rPr>
          <w:highlight w:val="none"/>
        </w:rPr>
      </w:pPr>
      <w:r>
        <w:rPr>
          <w:rFonts w:hint="eastAsia"/>
          <w:highlight w:val="none"/>
        </w:rPr>
        <w:t>5.2.2.2经分析，大件、园林垃圾的成分分析如下表所示。</w:t>
      </w:r>
    </w:p>
    <w:p w14:paraId="18CB4B8F">
      <w:pPr>
        <w:pStyle w:val="95"/>
        <w:numPr>
          <w:ilvl w:val="3"/>
          <w:numId w:val="0"/>
        </w:numPr>
        <w:ind w:firstLine="289"/>
        <w:rPr>
          <w:highlight w:val="none"/>
        </w:rPr>
      </w:pPr>
      <w:r>
        <w:rPr>
          <w:highlight w:val="none"/>
        </w:rPr>
        <w:t>表2.5-1</w:t>
      </w:r>
      <w:r>
        <w:rPr>
          <w:rFonts w:hint="eastAsia"/>
          <w:highlight w:val="none"/>
        </w:rPr>
        <w:t>大件、园林垃圾成分分析表（仅供参考）</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087"/>
        <w:gridCol w:w="2659"/>
        <w:gridCol w:w="2591"/>
      </w:tblGrid>
      <w:tr w14:paraId="2C80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FFFFFF"/>
            <w:vAlign w:val="center"/>
          </w:tcPr>
          <w:p w14:paraId="7207243D">
            <w:pPr>
              <w:pStyle w:val="121"/>
              <w:rPr>
                <w:rFonts w:cs="等线"/>
                <w:highlight w:val="none"/>
              </w:rPr>
            </w:pPr>
            <w:r>
              <w:rPr>
                <w:rFonts w:cs="等线"/>
                <w:highlight w:val="none"/>
              </w:rPr>
              <w:t>序号</w:t>
            </w:r>
          </w:p>
        </w:tc>
        <w:tc>
          <w:tcPr>
            <w:tcW w:w="2087" w:type="dxa"/>
            <w:shd w:val="clear" w:color="auto" w:fill="FFFFFF"/>
            <w:vAlign w:val="center"/>
          </w:tcPr>
          <w:p w14:paraId="60C2DE23">
            <w:pPr>
              <w:pStyle w:val="121"/>
              <w:rPr>
                <w:rFonts w:cs="等线"/>
                <w:highlight w:val="none"/>
              </w:rPr>
            </w:pPr>
            <w:r>
              <w:rPr>
                <w:rFonts w:cs="等线"/>
                <w:highlight w:val="none"/>
              </w:rPr>
              <w:t>项目</w:t>
            </w:r>
          </w:p>
        </w:tc>
        <w:tc>
          <w:tcPr>
            <w:tcW w:w="2659" w:type="dxa"/>
            <w:shd w:val="clear" w:color="auto" w:fill="FFFFFF"/>
            <w:vAlign w:val="center"/>
          </w:tcPr>
          <w:p w14:paraId="7100057D">
            <w:pPr>
              <w:pStyle w:val="121"/>
              <w:rPr>
                <w:rFonts w:cs="等线"/>
                <w:highlight w:val="none"/>
              </w:rPr>
            </w:pPr>
            <w:r>
              <w:rPr>
                <w:rFonts w:cs="等线"/>
                <w:highlight w:val="none"/>
              </w:rPr>
              <w:t>比例(质量比)</w:t>
            </w:r>
          </w:p>
        </w:tc>
        <w:tc>
          <w:tcPr>
            <w:tcW w:w="2591" w:type="dxa"/>
            <w:shd w:val="clear" w:color="auto" w:fill="FFFFFF"/>
            <w:vAlign w:val="center"/>
          </w:tcPr>
          <w:p w14:paraId="1FA8A31D">
            <w:pPr>
              <w:pStyle w:val="121"/>
              <w:rPr>
                <w:rFonts w:cs="等线"/>
                <w:highlight w:val="none"/>
              </w:rPr>
            </w:pPr>
            <w:r>
              <w:rPr>
                <w:rFonts w:cs="等线"/>
                <w:highlight w:val="none"/>
              </w:rPr>
              <w:t>产量（t/h）</w:t>
            </w:r>
          </w:p>
        </w:tc>
      </w:tr>
      <w:tr w14:paraId="70D6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851" w:type="dxa"/>
            <w:shd w:val="clear" w:color="auto" w:fill="FFFFFF"/>
            <w:vAlign w:val="center"/>
          </w:tcPr>
          <w:p w14:paraId="6D91E0A7">
            <w:pPr>
              <w:pStyle w:val="121"/>
              <w:rPr>
                <w:rFonts w:cs="等线"/>
                <w:highlight w:val="none"/>
              </w:rPr>
            </w:pPr>
            <w:r>
              <w:rPr>
                <w:rFonts w:cs="等线"/>
                <w:highlight w:val="none"/>
              </w:rPr>
              <w:t>1</w:t>
            </w:r>
          </w:p>
        </w:tc>
        <w:tc>
          <w:tcPr>
            <w:tcW w:w="2087" w:type="dxa"/>
            <w:shd w:val="clear" w:color="auto" w:fill="FFFFFF"/>
            <w:vAlign w:val="center"/>
          </w:tcPr>
          <w:p w14:paraId="51B0A49E">
            <w:pPr>
              <w:pStyle w:val="121"/>
              <w:rPr>
                <w:rFonts w:cs="等线"/>
                <w:highlight w:val="none"/>
              </w:rPr>
            </w:pPr>
            <w:r>
              <w:rPr>
                <w:rFonts w:cs="等线"/>
                <w:highlight w:val="none"/>
              </w:rPr>
              <w:t>金属</w:t>
            </w:r>
          </w:p>
        </w:tc>
        <w:tc>
          <w:tcPr>
            <w:tcW w:w="2659" w:type="dxa"/>
            <w:shd w:val="clear" w:color="auto" w:fill="FFFFFF"/>
            <w:vAlign w:val="center"/>
          </w:tcPr>
          <w:p w14:paraId="0753966A">
            <w:pPr>
              <w:pStyle w:val="121"/>
              <w:rPr>
                <w:rFonts w:cs="等线"/>
                <w:highlight w:val="none"/>
              </w:rPr>
            </w:pPr>
            <w:r>
              <w:rPr>
                <w:rFonts w:cs="等线"/>
                <w:highlight w:val="none"/>
              </w:rPr>
              <w:t>6%</w:t>
            </w:r>
          </w:p>
        </w:tc>
        <w:tc>
          <w:tcPr>
            <w:tcW w:w="2591" w:type="dxa"/>
            <w:shd w:val="clear" w:color="auto" w:fill="FFFFFF"/>
            <w:vAlign w:val="center"/>
          </w:tcPr>
          <w:p w14:paraId="49A4BD3F">
            <w:pPr>
              <w:pStyle w:val="121"/>
              <w:rPr>
                <w:rFonts w:cs="等线"/>
                <w:highlight w:val="none"/>
              </w:rPr>
            </w:pPr>
            <w:r>
              <w:rPr>
                <w:rFonts w:cs="等线"/>
                <w:highlight w:val="none"/>
              </w:rPr>
              <w:t>1.2</w:t>
            </w:r>
          </w:p>
        </w:tc>
      </w:tr>
      <w:tr w14:paraId="0EEC1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FFFFFF"/>
            <w:vAlign w:val="center"/>
          </w:tcPr>
          <w:p w14:paraId="5FE5734E">
            <w:pPr>
              <w:pStyle w:val="121"/>
              <w:rPr>
                <w:rFonts w:cs="等线"/>
                <w:highlight w:val="none"/>
              </w:rPr>
            </w:pPr>
            <w:r>
              <w:rPr>
                <w:rFonts w:cs="等线"/>
                <w:highlight w:val="none"/>
              </w:rPr>
              <w:t>2</w:t>
            </w:r>
          </w:p>
        </w:tc>
        <w:tc>
          <w:tcPr>
            <w:tcW w:w="2087" w:type="dxa"/>
            <w:shd w:val="clear" w:color="auto" w:fill="FFFFFF"/>
            <w:vAlign w:val="center"/>
          </w:tcPr>
          <w:p w14:paraId="76CAAF5D">
            <w:pPr>
              <w:pStyle w:val="121"/>
              <w:rPr>
                <w:rFonts w:cs="等线"/>
                <w:highlight w:val="none"/>
              </w:rPr>
            </w:pPr>
            <w:r>
              <w:rPr>
                <w:rFonts w:cs="等线"/>
                <w:highlight w:val="none"/>
              </w:rPr>
              <w:t>其他可燃物</w:t>
            </w:r>
          </w:p>
        </w:tc>
        <w:tc>
          <w:tcPr>
            <w:tcW w:w="2659" w:type="dxa"/>
            <w:shd w:val="clear" w:color="auto" w:fill="FFFFFF"/>
            <w:vAlign w:val="center"/>
          </w:tcPr>
          <w:p w14:paraId="58D30D90">
            <w:pPr>
              <w:pStyle w:val="121"/>
              <w:rPr>
                <w:rFonts w:cs="等线"/>
                <w:highlight w:val="none"/>
              </w:rPr>
            </w:pPr>
            <w:r>
              <w:rPr>
                <w:rFonts w:cs="等线"/>
                <w:highlight w:val="none"/>
              </w:rPr>
              <w:t>94%</w:t>
            </w:r>
          </w:p>
        </w:tc>
        <w:tc>
          <w:tcPr>
            <w:tcW w:w="2591" w:type="dxa"/>
            <w:shd w:val="clear" w:color="auto" w:fill="FFFFFF"/>
            <w:vAlign w:val="center"/>
          </w:tcPr>
          <w:p w14:paraId="799623FF">
            <w:pPr>
              <w:pStyle w:val="121"/>
              <w:rPr>
                <w:rFonts w:cs="等线"/>
                <w:highlight w:val="none"/>
              </w:rPr>
            </w:pPr>
            <w:r>
              <w:rPr>
                <w:rFonts w:cs="等线"/>
                <w:highlight w:val="none"/>
              </w:rPr>
              <w:t>18.8</w:t>
            </w:r>
          </w:p>
        </w:tc>
      </w:tr>
      <w:tr w14:paraId="6179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gridSpan w:val="2"/>
            <w:shd w:val="clear" w:color="auto" w:fill="FFFFFF"/>
            <w:vAlign w:val="center"/>
          </w:tcPr>
          <w:p w14:paraId="784ADB35">
            <w:pPr>
              <w:pStyle w:val="121"/>
              <w:rPr>
                <w:rFonts w:cs="等线"/>
                <w:highlight w:val="none"/>
              </w:rPr>
            </w:pPr>
            <w:r>
              <w:rPr>
                <w:rFonts w:cs="等线"/>
                <w:highlight w:val="none"/>
              </w:rPr>
              <w:t>合计</w:t>
            </w:r>
          </w:p>
        </w:tc>
        <w:tc>
          <w:tcPr>
            <w:tcW w:w="2659" w:type="dxa"/>
            <w:shd w:val="clear" w:color="auto" w:fill="FFFFFF"/>
            <w:vAlign w:val="center"/>
          </w:tcPr>
          <w:p w14:paraId="0CD489B3">
            <w:pPr>
              <w:pStyle w:val="121"/>
              <w:rPr>
                <w:rFonts w:cs="等线"/>
                <w:highlight w:val="none"/>
              </w:rPr>
            </w:pPr>
            <w:r>
              <w:rPr>
                <w:rFonts w:cs="等线"/>
                <w:highlight w:val="none"/>
              </w:rPr>
              <w:t>100%</w:t>
            </w:r>
          </w:p>
        </w:tc>
        <w:tc>
          <w:tcPr>
            <w:tcW w:w="2591" w:type="dxa"/>
            <w:shd w:val="clear" w:color="auto" w:fill="FFFFFF"/>
            <w:vAlign w:val="center"/>
          </w:tcPr>
          <w:p w14:paraId="490915DB">
            <w:pPr>
              <w:pStyle w:val="121"/>
              <w:rPr>
                <w:rFonts w:cs="等线"/>
                <w:highlight w:val="none"/>
              </w:rPr>
            </w:pPr>
            <w:r>
              <w:rPr>
                <w:rFonts w:cs="等线"/>
                <w:highlight w:val="none"/>
              </w:rPr>
              <w:t>20</w:t>
            </w:r>
          </w:p>
        </w:tc>
      </w:tr>
    </w:tbl>
    <w:p w14:paraId="43A6C559">
      <w:pPr>
        <w:pStyle w:val="103"/>
        <w:numPr>
          <w:ilvl w:val="2"/>
          <w:numId w:val="0"/>
        </w:numPr>
        <w:ind w:firstLine="426"/>
        <w:rPr>
          <w:highlight w:val="none"/>
        </w:rPr>
      </w:pPr>
      <w:r>
        <w:rPr>
          <w:rFonts w:hint="eastAsia"/>
          <w:highlight w:val="none"/>
        </w:rPr>
        <w:t>5.3工艺流程</w:t>
      </w:r>
    </w:p>
    <w:p w14:paraId="4F77C341">
      <w:pPr>
        <w:ind w:firstLine="480"/>
        <w:rPr>
          <w:highlight w:val="none"/>
        </w:rPr>
      </w:pPr>
      <w:r>
        <w:rPr>
          <w:rFonts w:hint="eastAsia"/>
          <w:highlight w:val="none"/>
        </w:rPr>
        <w:t>5.3.1设计大件</w:t>
      </w:r>
      <w:r>
        <w:rPr>
          <w:highlight w:val="none"/>
        </w:rPr>
        <w:t>、园林产线处置设备</w:t>
      </w:r>
      <w:r>
        <w:rPr>
          <w:rFonts w:hint="eastAsia"/>
          <w:highlight w:val="none"/>
        </w:rPr>
        <w:t>1套。</w:t>
      </w:r>
      <w:r>
        <w:rPr>
          <w:highlight w:val="none"/>
        </w:rPr>
        <w:t>包括但不限于破碎机、磁选机、链板输送机、皮带输送机、除尘设备等。</w:t>
      </w:r>
    </w:p>
    <w:p w14:paraId="0C1DAF39">
      <w:pPr>
        <w:ind w:firstLine="480"/>
        <w:rPr>
          <w:highlight w:val="none"/>
        </w:rPr>
      </w:pPr>
      <w:r>
        <w:rPr>
          <w:rFonts w:hint="eastAsia"/>
          <w:highlight w:val="none"/>
        </w:rPr>
        <w:t>5.3.2</w:t>
      </w:r>
      <w:r>
        <w:rPr>
          <w:highlight w:val="none"/>
        </w:rPr>
        <w:t>收集车位于</w:t>
      </w:r>
      <w:r>
        <w:rPr>
          <w:rFonts w:hint="eastAsia"/>
          <w:highlight w:val="none"/>
        </w:rPr>
        <w:t>1层原料堆场卸料，通过转载机将物料转运至链板输送机，进入处置产线，经破碎后的物料通过皮带输送机将产品输送至成品堆场，再装车外运。</w:t>
      </w:r>
    </w:p>
    <w:p w14:paraId="4CB140E2">
      <w:pPr>
        <w:pStyle w:val="99"/>
        <w:rPr>
          <w:highlight w:val="none"/>
        </w:rPr>
      </w:pPr>
      <w:r>
        <w:rPr>
          <w:highlight w:val="none"/>
        </w:rPr>
        <w:drawing>
          <wp:inline distT="0" distB="0" distL="0" distR="0">
            <wp:extent cx="5869305" cy="775970"/>
            <wp:effectExtent l="0" t="0" r="7620" b="5080"/>
            <wp:docPr id="1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图示&#10;&#10;描述已自动生成"/>
                    <pic:cNvPicPr>
                      <a:picLocks noChangeAspect="1" noChangeArrowheads="1"/>
                    </pic:cNvPicPr>
                  </pic:nvPicPr>
                  <pic:blipFill>
                    <a:blip r:embed="rId8" cstate="print"/>
                    <a:srcRect/>
                    <a:stretch>
                      <a:fillRect/>
                    </a:stretch>
                  </pic:blipFill>
                  <pic:spPr>
                    <a:xfrm>
                      <a:off x="0" y="0"/>
                      <a:ext cx="5869305" cy="775970"/>
                    </a:xfrm>
                    <a:prstGeom prst="rect">
                      <a:avLst/>
                    </a:prstGeom>
                    <a:noFill/>
                    <a:ln w="9525">
                      <a:noFill/>
                      <a:miter lim="800000"/>
                      <a:headEnd/>
                      <a:tailEnd/>
                    </a:ln>
                  </pic:spPr>
                </pic:pic>
              </a:graphicData>
            </a:graphic>
          </wp:inline>
        </w:drawing>
      </w:r>
    </w:p>
    <w:p w14:paraId="5F0735E1">
      <w:pPr>
        <w:pStyle w:val="105"/>
        <w:numPr>
          <w:ilvl w:val="4"/>
          <w:numId w:val="0"/>
        </w:numPr>
        <w:ind w:firstLine="480"/>
        <w:rPr>
          <w:highlight w:val="none"/>
        </w:rPr>
      </w:pPr>
      <w:r>
        <w:rPr>
          <w:rFonts w:ascii="Times New Roman" w:hAnsi="Times New Roman"/>
          <w:b w:val="0"/>
          <w:bCs w:val="0"/>
          <w:snapToGrid w:val="0"/>
          <w:color w:val="000000"/>
          <w:w w:val="0"/>
          <w:kern w:val="0"/>
          <w:szCs w:val="0"/>
          <w:highlight w:val="none"/>
        </w:rPr>
        <w:t>图2.5-1</w:t>
      </w:r>
      <w:r>
        <w:rPr>
          <w:rFonts w:hint="eastAsia"/>
          <w:highlight w:val="none"/>
        </w:rPr>
        <w:t>大件垃圾回收作业流程</w:t>
      </w:r>
    </w:p>
    <w:p w14:paraId="1D495DD7">
      <w:pPr>
        <w:pStyle w:val="103"/>
        <w:numPr>
          <w:ilvl w:val="2"/>
          <w:numId w:val="0"/>
        </w:numPr>
        <w:ind w:firstLine="426"/>
        <w:rPr>
          <w:highlight w:val="none"/>
        </w:rPr>
      </w:pPr>
      <w:r>
        <w:rPr>
          <w:rFonts w:hint="eastAsia"/>
          <w:highlight w:val="none"/>
        </w:rPr>
        <w:t>5.4</w:t>
      </w:r>
      <w:r>
        <w:rPr>
          <w:highlight w:val="none"/>
        </w:rPr>
        <w:t>除尘工艺</w:t>
      </w:r>
    </w:p>
    <w:p w14:paraId="3D15231D">
      <w:pPr>
        <w:ind w:firstLine="480"/>
        <w:rPr>
          <w:highlight w:val="none"/>
        </w:rPr>
      </w:pPr>
      <w:r>
        <w:rPr>
          <w:rFonts w:hint="eastAsia"/>
          <w:highlight w:val="none"/>
        </w:rPr>
        <w:t>5.4.1在大件、园林垃圾处置产线，根据产尘点的分析结果，除尘方式考虑采用“负压收尘+喷淋降尘”的组合式除尘工艺技术，在主要扬尘点进行抑尘和收尘，以控制厂区粉尘排放浓度。</w:t>
      </w:r>
    </w:p>
    <w:p w14:paraId="0DFB34A9">
      <w:pPr>
        <w:ind w:firstLine="482"/>
        <w:rPr>
          <w:b/>
          <w:bCs/>
          <w:highlight w:val="none"/>
        </w:rPr>
      </w:pPr>
      <w:r>
        <w:rPr>
          <w:rFonts w:hint="eastAsia"/>
          <w:b/>
          <w:bCs/>
          <w:highlight w:val="none"/>
        </w:rPr>
        <w:t>★5.4.2负压除尘排放标准（提供承诺函上传至电子投标文件中）</w:t>
      </w:r>
    </w:p>
    <w:p w14:paraId="593417B2">
      <w:pPr>
        <w:ind w:firstLine="480"/>
        <w:rPr>
          <w:highlight w:val="none"/>
        </w:rPr>
      </w:pPr>
      <w:r>
        <w:rPr>
          <w:rFonts w:hint="eastAsia"/>
          <w:highlight w:val="none"/>
        </w:rPr>
        <w:t>5.4.3负压收尘</w:t>
      </w:r>
      <w:r>
        <w:rPr>
          <w:highlight w:val="none"/>
        </w:rPr>
        <w:t>除尘指标如下表所示。</w:t>
      </w:r>
    </w:p>
    <w:p w14:paraId="7A617F45">
      <w:pPr>
        <w:pStyle w:val="95"/>
        <w:numPr>
          <w:ilvl w:val="3"/>
          <w:numId w:val="0"/>
        </w:numPr>
        <w:ind w:firstLine="289"/>
        <w:rPr>
          <w:highlight w:val="none"/>
        </w:rPr>
      </w:pPr>
      <w:r>
        <w:rPr>
          <w:highlight w:val="none"/>
        </w:rPr>
        <w:t>表2.5-2除尘指标一览表</w:t>
      </w:r>
    </w:p>
    <w:tbl>
      <w:tblPr>
        <w:tblStyle w:val="42"/>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472"/>
        <w:gridCol w:w="1289"/>
        <w:gridCol w:w="1472"/>
        <w:gridCol w:w="1381"/>
        <w:gridCol w:w="3470"/>
      </w:tblGrid>
      <w:tr w14:paraId="37B3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75" w:type="dxa"/>
            <w:vMerge w:val="restart"/>
            <w:tcBorders>
              <w:top w:val="single" w:color="000000" w:sz="4" w:space="0"/>
              <w:left w:val="single" w:color="000000" w:sz="4" w:space="0"/>
              <w:bottom w:val="single" w:color="000000" w:sz="4" w:space="0"/>
              <w:right w:val="single" w:color="000000" w:sz="4" w:space="0"/>
            </w:tcBorders>
            <w:shd w:val="clear" w:color="auto" w:fill="FBE4D5"/>
            <w:vAlign w:val="center"/>
          </w:tcPr>
          <w:p w14:paraId="718D8C96">
            <w:pPr>
              <w:pStyle w:val="121"/>
              <w:rPr>
                <w:rFonts w:cs="等线"/>
                <w:highlight w:val="none"/>
              </w:rPr>
            </w:pPr>
            <w:r>
              <w:rPr>
                <w:rFonts w:cs="等线"/>
                <w:highlight w:val="none"/>
              </w:rPr>
              <w:t>序号</w:t>
            </w:r>
          </w:p>
        </w:tc>
        <w:tc>
          <w:tcPr>
            <w:tcW w:w="1472" w:type="dxa"/>
            <w:vMerge w:val="restart"/>
            <w:tcBorders>
              <w:top w:val="single" w:color="000000" w:sz="4" w:space="0"/>
              <w:left w:val="single" w:color="000000" w:sz="4" w:space="0"/>
              <w:bottom w:val="single" w:color="000000" w:sz="4" w:space="0"/>
              <w:right w:val="single" w:color="000000" w:sz="4" w:space="0"/>
            </w:tcBorders>
            <w:shd w:val="clear" w:color="auto" w:fill="FBE4D5"/>
            <w:vAlign w:val="center"/>
          </w:tcPr>
          <w:p w14:paraId="11C0FFCE">
            <w:pPr>
              <w:pStyle w:val="121"/>
              <w:rPr>
                <w:rFonts w:cs="等线"/>
                <w:highlight w:val="none"/>
              </w:rPr>
            </w:pPr>
            <w:r>
              <w:rPr>
                <w:rFonts w:cs="等线"/>
                <w:highlight w:val="none"/>
              </w:rPr>
              <w:t>项目</w:t>
            </w:r>
          </w:p>
        </w:tc>
        <w:tc>
          <w:tcPr>
            <w:tcW w:w="1289" w:type="dxa"/>
            <w:vMerge w:val="restart"/>
            <w:tcBorders>
              <w:top w:val="single" w:color="000000" w:sz="4" w:space="0"/>
              <w:left w:val="single" w:color="000000" w:sz="4" w:space="0"/>
              <w:bottom w:val="single" w:color="000000" w:sz="4" w:space="0"/>
              <w:right w:val="single" w:color="000000" w:sz="4" w:space="0"/>
            </w:tcBorders>
            <w:shd w:val="clear" w:color="auto" w:fill="FBE4D5"/>
            <w:vAlign w:val="center"/>
          </w:tcPr>
          <w:p w14:paraId="41C174F7">
            <w:pPr>
              <w:pStyle w:val="121"/>
              <w:rPr>
                <w:rFonts w:cs="等线"/>
                <w:highlight w:val="none"/>
              </w:rPr>
            </w:pPr>
            <w:r>
              <w:rPr>
                <w:rFonts w:cs="等线"/>
                <w:highlight w:val="none"/>
              </w:rPr>
              <w:t>单位</w:t>
            </w:r>
          </w:p>
        </w:tc>
        <w:tc>
          <w:tcPr>
            <w:tcW w:w="1472" w:type="dxa"/>
            <w:vMerge w:val="restart"/>
            <w:tcBorders>
              <w:top w:val="single" w:color="000000" w:sz="4" w:space="0"/>
              <w:left w:val="single" w:color="000000" w:sz="4" w:space="0"/>
              <w:bottom w:val="single" w:color="000000" w:sz="4" w:space="0"/>
              <w:right w:val="single" w:color="000000" w:sz="4" w:space="0"/>
            </w:tcBorders>
            <w:shd w:val="clear" w:color="auto" w:fill="FBE4D5"/>
            <w:vAlign w:val="center"/>
          </w:tcPr>
          <w:p w14:paraId="6FE90143">
            <w:pPr>
              <w:pStyle w:val="121"/>
              <w:rPr>
                <w:rFonts w:cs="等线"/>
                <w:highlight w:val="none"/>
              </w:rPr>
            </w:pPr>
            <w:r>
              <w:rPr>
                <w:rFonts w:cs="等线"/>
                <w:highlight w:val="none"/>
              </w:rPr>
              <w:t>设计指标</w:t>
            </w:r>
          </w:p>
        </w:tc>
        <w:tc>
          <w:tcPr>
            <w:tcW w:w="4851" w:type="dxa"/>
            <w:gridSpan w:val="2"/>
            <w:tcBorders>
              <w:top w:val="single" w:color="000000" w:sz="4" w:space="0"/>
              <w:left w:val="single" w:color="000000" w:sz="4" w:space="0"/>
              <w:bottom w:val="single" w:color="000000" w:sz="4" w:space="0"/>
              <w:right w:val="single" w:color="000000" w:sz="4" w:space="0"/>
            </w:tcBorders>
            <w:shd w:val="clear" w:color="auto" w:fill="FBE4D5"/>
            <w:vAlign w:val="center"/>
          </w:tcPr>
          <w:p w14:paraId="470450E6">
            <w:pPr>
              <w:pStyle w:val="121"/>
              <w:rPr>
                <w:rFonts w:cs="等线"/>
                <w:highlight w:val="none"/>
              </w:rPr>
            </w:pPr>
            <w:r>
              <w:rPr>
                <w:rFonts w:cs="等线"/>
                <w:highlight w:val="none"/>
              </w:rPr>
              <w:t>指标或政策</w:t>
            </w:r>
          </w:p>
        </w:tc>
      </w:tr>
      <w:tr w14:paraId="022D7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75" w:type="dxa"/>
            <w:vMerge w:val="continue"/>
            <w:shd w:val="clear" w:color="auto" w:fill="DAEEF3"/>
            <w:vAlign w:val="center"/>
          </w:tcPr>
          <w:p w14:paraId="70CEE7F9">
            <w:pPr>
              <w:pStyle w:val="121"/>
              <w:rPr>
                <w:rFonts w:cs="等线"/>
                <w:highlight w:val="none"/>
              </w:rPr>
            </w:pPr>
          </w:p>
        </w:tc>
        <w:tc>
          <w:tcPr>
            <w:tcW w:w="1472" w:type="dxa"/>
            <w:vMerge w:val="continue"/>
            <w:shd w:val="clear" w:color="auto" w:fill="DAEEF3"/>
            <w:vAlign w:val="center"/>
          </w:tcPr>
          <w:p w14:paraId="61BEE2E1">
            <w:pPr>
              <w:pStyle w:val="121"/>
              <w:rPr>
                <w:rFonts w:cs="等线"/>
                <w:highlight w:val="none"/>
              </w:rPr>
            </w:pPr>
          </w:p>
        </w:tc>
        <w:tc>
          <w:tcPr>
            <w:tcW w:w="1289" w:type="dxa"/>
            <w:vMerge w:val="continue"/>
            <w:shd w:val="clear" w:color="auto" w:fill="DAEEF3"/>
            <w:vAlign w:val="center"/>
          </w:tcPr>
          <w:p w14:paraId="7F3DFFA3">
            <w:pPr>
              <w:pStyle w:val="121"/>
              <w:rPr>
                <w:rFonts w:cs="等线"/>
                <w:highlight w:val="none"/>
              </w:rPr>
            </w:pPr>
          </w:p>
        </w:tc>
        <w:tc>
          <w:tcPr>
            <w:tcW w:w="1472" w:type="dxa"/>
            <w:vMerge w:val="continue"/>
            <w:shd w:val="clear" w:color="auto" w:fill="DAEEF3"/>
            <w:vAlign w:val="center"/>
          </w:tcPr>
          <w:p w14:paraId="7337E479">
            <w:pPr>
              <w:pStyle w:val="121"/>
              <w:rPr>
                <w:rFonts w:cs="等线"/>
                <w:highlight w:val="none"/>
              </w:rPr>
            </w:pPr>
          </w:p>
        </w:tc>
        <w:tc>
          <w:tcPr>
            <w:tcW w:w="1381" w:type="dxa"/>
            <w:shd w:val="clear" w:color="auto" w:fill="DAEEF3"/>
            <w:vAlign w:val="center"/>
          </w:tcPr>
          <w:p w14:paraId="51C40912">
            <w:pPr>
              <w:pStyle w:val="121"/>
              <w:rPr>
                <w:rFonts w:cs="等线"/>
                <w:highlight w:val="none"/>
              </w:rPr>
            </w:pPr>
            <w:r>
              <w:rPr>
                <w:rFonts w:cs="等线"/>
                <w:highlight w:val="none"/>
              </w:rPr>
              <w:t>指标</w:t>
            </w:r>
          </w:p>
        </w:tc>
        <w:tc>
          <w:tcPr>
            <w:tcW w:w="3470" w:type="dxa"/>
            <w:shd w:val="clear" w:color="auto" w:fill="DAEEF3"/>
            <w:vAlign w:val="center"/>
          </w:tcPr>
          <w:p w14:paraId="55B88EAF">
            <w:pPr>
              <w:pStyle w:val="121"/>
              <w:rPr>
                <w:rFonts w:cs="等线"/>
                <w:highlight w:val="none"/>
              </w:rPr>
            </w:pPr>
            <w:r>
              <w:rPr>
                <w:rFonts w:cs="等线"/>
                <w:highlight w:val="none"/>
              </w:rPr>
              <w:t>标准政策代号名称</w:t>
            </w:r>
          </w:p>
        </w:tc>
      </w:tr>
      <w:tr w14:paraId="6C97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75" w:type="dxa"/>
            <w:shd w:val="clear" w:color="auto" w:fill="DAEEF3"/>
            <w:vAlign w:val="center"/>
          </w:tcPr>
          <w:p w14:paraId="74893894">
            <w:pPr>
              <w:pStyle w:val="121"/>
              <w:rPr>
                <w:rFonts w:cs="等线"/>
                <w:highlight w:val="none"/>
              </w:rPr>
            </w:pPr>
            <w:r>
              <w:rPr>
                <w:rFonts w:cs="等线"/>
                <w:highlight w:val="none"/>
              </w:rPr>
              <w:t>1</w:t>
            </w:r>
          </w:p>
        </w:tc>
        <w:tc>
          <w:tcPr>
            <w:tcW w:w="1472" w:type="dxa"/>
            <w:shd w:val="clear" w:color="auto" w:fill="DAEEF3"/>
            <w:vAlign w:val="center"/>
          </w:tcPr>
          <w:p w14:paraId="0FED320E">
            <w:pPr>
              <w:pStyle w:val="121"/>
              <w:rPr>
                <w:rFonts w:cs="等线"/>
                <w:highlight w:val="none"/>
              </w:rPr>
            </w:pPr>
            <w:r>
              <w:rPr>
                <w:rFonts w:cs="等线"/>
                <w:highlight w:val="none"/>
              </w:rPr>
              <w:t>捕集率</w:t>
            </w:r>
          </w:p>
        </w:tc>
        <w:tc>
          <w:tcPr>
            <w:tcW w:w="1289" w:type="dxa"/>
            <w:shd w:val="clear" w:color="auto" w:fill="DAEEF3"/>
            <w:vAlign w:val="center"/>
          </w:tcPr>
          <w:p w14:paraId="16F65893">
            <w:pPr>
              <w:pStyle w:val="121"/>
              <w:rPr>
                <w:rFonts w:cs="等线"/>
                <w:highlight w:val="none"/>
              </w:rPr>
            </w:pPr>
            <w:r>
              <w:rPr>
                <w:rFonts w:cs="等线"/>
                <w:highlight w:val="none"/>
              </w:rPr>
              <w:t>%</w:t>
            </w:r>
          </w:p>
        </w:tc>
        <w:tc>
          <w:tcPr>
            <w:tcW w:w="1472" w:type="dxa"/>
            <w:shd w:val="clear" w:color="auto" w:fill="DAEEF3"/>
            <w:vAlign w:val="center"/>
          </w:tcPr>
          <w:p w14:paraId="214D3DDC">
            <w:pPr>
              <w:pStyle w:val="121"/>
              <w:rPr>
                <w:rFonts w:cs="等线"/>
                <w:highlight w:val="none"/>
              </w:rPr>
            </w:pPr>
            <w:r>
              <w:rPr>
                <w:rFonts w:cs="等线"/>
                <w:highlight w:val="none"/>
              </w:rPr>
              <w:t>95以上</w:t>
            </w:r>
          </w:p>
        </w:tc>
        <w:tc>
          <w:tcPr>
            <w:tcW w:w="1381" w:type="dxa"/>
            <w:shd w:val="clear" w:color="auto" w:fill="DAEEF3"/>
            <w:vAlign w:val="center"/>
          </w:tcPr>
          <w:p w14:paraId="20A0B5B4">
            <w:pPr>
              <w:pStyle w:val="121"/>
              <w:rPr>
                <w:rFonts w:cs="等线"/>
                <w:highlight w:val="none"/>
              </w:rPr>
            </w:pPr>
            <w:r>
              <w:rPr>
                <w:rFonts w:cs="等线"/>
                <w:highlight w:val="none"/>
              </w:rPr>
              <w:t>无</w:t>
            </w:r>
          </w:p>
        </w:tc>
        <w:tc>
          <w:tcPr>
            <w:tcW w:w="3470" w:type="dxa"/>
            <w:shd w:val="clear" w:color="auto" w:fill="DAEEF3"/>
            <w:vAlign w:val="center"/>
          </w:tcPr>
          <w:p w14:paraId="0E6182B5">
            <w:pPr>
              <w:pStyle w:val="121"/>
              <w:rPr>
                <w:rFonts w:cs="等线"/>
                <w:highlight w:val="none"/>
              </w:rPr>
            </w:pPr>
          </w:p>
        </w:tc>
      </w:tr>
      <w:tr w14:paraId="0226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75" w:type="dxa"/>
            <w:shd w:val="clear" w:color="auto" w:fill="DAEEF3"/>
            <w:vAlign w:val="center"/>
          </w:tcPr>
          <w:p w14:paraId="6A27D741">
            <w:pPr>
              <w:pStyle w:val="121"/>
              <w:rPr>
                <w:rFonts w:cs="等线"/>
                <w:highlight w:val="none"/>
              </w:rPr>
            </w:pPr>
            <w:r>
              <w:rPr>
                <w:rFonts w:cs="等线"/>
                <w:highlight w:val="none"/>
              </w:rPr>
              <w:t>2</w:t>
            </w:r>
          </w:p>
        </w:tc>
        <w:tc>
          <w:tcPr>
            <w:tcW w:w="1472" w:type="dxa"/>
            <w:shd w:val="clear" w:color="auto" w:fill="DAEEF3"/>
            <w:vAlign w:val="center"/>
          </w:tcPr>
          <w:p w14:paraId="1FC088F4">
            <w:pPr>
              <w:pStyle w:val="121"/>
              <w:rPr>
                <w:rFonts w:cs="等线"/>
                <w:highlight w:val="none"/>
              </w:rPr>
            </w:pPr>
            <w:r>
              <w:rPr>
                <w:rFonts w:cs="等线"/>
                <w:highlight w:val="none"/>
              </w:rPr>
              <w:t>排放浓度</w:t>
            </w:r>
          </w:p>
        </w:tc>
        <w:tc>
          <w:tcPr>
            <w:tcW w:w="1289" w:type="dxa"/>
            <w:shd w:val="clear" w:color="auto" w:fill="DAEEF3"/>
            <w:vAlign w:val="center"/>
          </w:tcPr>
          <w:p w14:paraId="6CAB9674">
            <w:pPr>
              <w:pStyle w:val="121"/>
              <w:rPr>
                <w:rFonts w:cs="等线"/>
                <w:highlight w:val="none"/>
              </w:rPr>
            </w:pPr>
            <w:r>
              <w:rPr>
                <w:rFonts w:cs="等线"/>
                <w:highlight w:val="none"/>
              </w:rPr>
              <w:t>mg/Nm³</w:t>
            </w:r>
          </w:p>
        </w:tc>
        <w:tc>
          <w:tcPr>
            <w:tcW w:w="1472" w:type="dxa"/>
            <w:shd w:val="clear" w:color="auto" w:fill="DAEEF3"/>
            <w:vAlign w:val="center"/>
          </w:tcPr>
          <w:p w14:paraId="560336E8">
            <w:pPr>
              <w:pStyle w:val="121"/>
              <w:rPr>
                <w:rFonts w:cs="等线"/>
                <w:highlight w:val="none"/>
              </w:rPr>
            </w:pPr>
            <w:r>
              <w:rPr>
                <w:rFonts w:cs="等线"/>
                <w:highlight w:val="none"/>
              </w:rPr>
              <w:t>＜10</w:t>
            </w:r>
          </w:p>
        </w:tc>
        <w:tc>
          <w:tcPr>
            <w:tcW w:w="1381" w:type="dxa"/>
            <w:shd w:val="clear" w:color="auto" w:fill="DAEEF3"/>
            <w:vAlign w:val="center"/>
          </w:tcPr>
          <w:p w14:paraId="0491A301">
            <w:pPr>
              <w:pStyle w:val="121"/>
              <w:rPr>
                <w:rFonts w:cs="等线"/>
                <w:highlight w:val="none"/>
              </w:rPr>
            </w:pPr>
            <w:r>
              <w:rPr>
                <w:rFonts w:cs="等线"/>
                <w:highlight w:val="none"/>
              </w:rPr>
              <w:t>＜10</w:t>
            </w:r>
          </w:p>
        </w:tc>
        <w:tc>
          <w:tcPr>
            <w:tcW w:w="3470" w:type="dxa"/>
            <w:shd w:val="clear" w:color="auto" w:fill="DAEEF3"/>
            <w:vAlign w:val="center"/>
          </w:tcPr>
          <w:p w14:paraId="61AA273D">
            <w:pPr>
              <w:pStyle w:val="121"/>
              <w:rPr>
                <w:rFonts w:cs="等线"/>
                <w:highlight w:val="none"/>
              </w:rPr>
            </w:pPr>
            <w:r>
              <w:rPr>
                <w:rFonts w:hint="eastAsia" w:cs="等线"/>
                <w:highlight w:val="none"/>
              </w:rPr>
              <w:t>《大气污染物综合排放标准》（GB16297-1996）表2的二级标准</w:t>
            </w:r>
          </w:p>
        </w:tc>
      </w:tr>
    </w:tbl>
    <w:p w14:paraId="003272DD">
      <w:pPr>
        <w:ind w:firstLine="480"/>
        <w:rPr>
          <w:highlight w:val="none"/>
        </w:rPr>
      </w:pPr>
      <w:bookmarkStart w:id="73" w:name="_Toc7748"/>
      <w:bookmarkStart w:id="74" w:name="_Toc7159"/>
      <w:bookmarkStart w:id="75" w:name="_Toc13399"/>
      <w:bookmarkStart w:id="76" w:name="_Toc16541"/>
      <w:bookmarkStart w:id="77" w:name="_Toc30439"/>
      <w:bookmarkStart w:id="78" w:name="_Toc21367"/>
      <w:bookmarkStart w:id="79" w:name="_Toc29245"/>
      <w:bookmarkStart w:id="80" w:name="_Toc29670225"/>
      <w:r>
        <w:rPr>
          <w:rFonts w:hint="eastAsia"/>
          <w:highlight w:val="none"/>
        </w:rPr>
        <w:t>注：除尘指标具体以环评批复文件为准。</w:t>
      </w:r>
    </w:p>
    <w:bookmarkEnd w:id="73"/>
    <w:bookmarkEnd w:id="74"/>
    <w:bookmarkEnd w:id="75"/>
    <w:bookmarkEnd w:id="76"/>
    <w:bookmarkEnd w:id="77"/>
    <w:bookmarkEnd w:id="78"/>
    <w:bookmarkEnd w:id="79"/>
    <w:bookmarkEnd w:id="80"/>
    <w:p w14:paraId="0A8B21E6">
      <w:pPr>
        <w:ind w:firstLine="480"/>
        <w:rPr>
          <w:highlight w:val="none"/>
        </w:rPr>
      </w:pPr>
      <w:r>
        <w:rPr>
          <w:rFonts w:hint="eastAsia"/>
          <w:highlight w:val="none"/>
        </w:rPr>
        <w:t>5.4.4喷淋降尘设计</w:t>
      </w:r>
    </w:p>
    <w:p w14:paraId="361646C0">
      <w:pPr>
        <w:ind w:firstLine="480"/>
        <w:rPr>
          <w:highlight w:val="none"/>
        </w:rPr>
      </w:pPr>
      <w:r>
        <w:rPr>
          <w:rFonts w:hint="eastAsia"/>
          <w:highlight w:val="none"/>
        </w:rPr>
        <w:t>5.4.4.1高压喷雾降尘设备工作原理是利用主机中的水泵，将洁净水增压到</w:t>
      </w:r>
      <w:r>
        <w:rPr>
          <w:highlight w:val="none"/>
        </w:rPr>
        <w:t>0.4Mpa以上，再经特质的喷头喷出，喷出的水雾与空气的粉尘相碰撞，使粉尘降落地面，对环境的改善效果非常显著。高压喷雾设备主要由高压泵、喷嘴、水处理装置等构成。水箱采用</w:t>
      </w:r>
      <w:r>
        <w:rPr>
          <w:rFonts w:hint="eastAsia"/>
          <w:highlight w:val="none"/>
        </w:rPr>
        <w:t>304不锈钢。采用变频系统，整套抑尘系统压力稳定，节能，并且最主要恒压不易堵塞，系统使用寿命更长。管道采用不锈钢管，材质稳定，耐酸碱，抗锈力强，外观精美。</w:t>
      </w:r>
    </w:p>
    <w:p w14:paraId="51E3A7D0">
      <w:pPr>
        <w:ind w:firstLine="480"/>
        <w:rPr>
          <w:highlight w:val="none"/>
        </w:rPr>
      </w:pPr>
      <w:r>
        <w:rPr>
          <w:rFonts w:hint="eastAsia"/>
          <w:highlight w:val="none"/>
        </w:rPr>
        <w:t>5.4.4.2使用点位：原料、成品暂存区域、破碎区域</w:t>
      </w:r>
      <w:r>
        <w:rPr>
          <w:highlight w:val="none"/>
        </w:rPr>
        <w:t>。用于</w:t>
      </w:r>
      <w:r>
        <w:rPr>
          <w:rFonts w:hint="eastAsia"/>
          <w:highlight w:val="none"/>
        </w:rPr>
        <w:t>车间</w:t>
      </w:r>
      <w:r>
        <w:rPr>
          <w:highlight w:val="none"/>
        </w:rPr>
        <w:t>内区域抑尘。</w:t>
      </w:r>
    </w:p>
    <w:p w14:paraId="5611587A">
      <w:pPr>
        <w:ind w:firstLine="480"/>
        <w:rPr>
          <w:highlight w:val="none"/>
        </w:rPr>
      </w:pPr>
      <w:r>
        <w:rPr>
          <w:rFonts w:hint="eastAsia"/>
          <w:highlight w:val="none"/>
        </w:rPr>
        <w:t>5.4.4.3数量：1套</w:t>
      </w:r>
    </w:p>
    <w:p w14:paraId="78BC2F0C">
      <w:pPr>
        <w:ind w:firstLine="480"/>
        <w:rPr>
          <w:highlight w:val="none"/>
        </w:rPr>
      </w:pPr>
      <w:r>
        <w:rPr>
          <w:rFonts w:hint="eastAsia"/>
          <w:highlight w:val="none"/>
        </w:rPr>
        <w:t>5.4.4.4</w:t>
      </w:r>
      <w:r>
        <w:rPr>
          <w:highlight w:val="none"/>
        </w:rPr>
        <w:t>输送管路系统包括雾化喷头、输送管路、输送管路配件以及固定卡扣等。主要材质均采用SUS304，其管路的耐受压力为20MPa，喷头的耐受压力为2~7 MPa，各部件采用螺丝连接，安全可靠且方便拆卸和更换。</w:t>
      </w:r>
    </w:p>
    <w:p w14:paraId="6B766A0C">
      <w:pPr>
        <w:ind w:firstLine="480"/>
        <w:rPr>
          <w:highlight w:val="none"/>
        </w:rPr>
      </w:pPr>
      <w:r>
        <w:rPr>
          <w:rFonts w:hint="eastAsia"/>
          <w:highlight w:val="none"/>
        </w:rPr>
        <w:t>5.4.4.5</w:t>
      </w:r>
      <w:r>
        <w:rPr>
          <w:highlight w:val="none"/>
        </w:rPr>
        <w:t>雾化喷头带有耐腐蚀的合金过滤网，可以过滤</w:t>
      </w:r>
      <w:r>
        <w:rPr>
          <w:rFonts w:hint="eastAsia"/>
          <w:highlight w:val="none"/>
        </w:rPr>
        <w:t>水</w:t>
      </w:r>
      <w:r>
        <w:rPr>
          <w:highlight w:val="none"/>
        </w:rPr>
        <w:t>中的杂质颗粒。</w:t>
      </w:r>
    </w:p>
    <w:p w14:paraId="5E23609C">
      <w:pPr>
        <w:ind w:firstLine="480"/>
        <w:rPr>
          <w:highlight w:val="none"/>
        </w:rPr>
      </w:pPr>
      <w:r>
        <w:rPr>
          <w:rFonts w:hint="eastAsia"/>
          <w:highlight w:val="none"/>
        </w:rPr>
        <w:t>5.4.4.6</w:t>
      </w:r>
      <w:r>
        <w:rPr>
          <w:highlight w:val="none"/>
        </w:rPr>
        <w:t>雾化喷头内部带防漏滴设计，保证在停机时不会形成水滴现象。</w:t>
      </w:r>
    </w:p>
    <w:p w14:paraId="635F9768">
      <w:pPr>
        <w:ind w:firstLine="480"/>
        <w:rPr>
          <w:highlight w:val="none"/>
        </w:rPr>
      </w:pPr>
      <w:r>
        <w:rPr>
          <w:rFonts w:hint="eastAsia"/>
          <w:highlight w:val="none"/>
        </w:rPr>
        <w:t>5.4.4.7</w:t>
      </w:r>
      <w:r>
        <w:rPr>
          <w:highlight w:val="none"/>
        </w:rPr>
        <w:t>对输送管路进行合理布置，不影响厂区正常的生产作业和其他设备的维修保养。</w:t>
      </w:r>
    </w:p>
    <w:p w14:paraId="501C70C9">
      <w:pPr>
        <w:ind w:firstLine="480"/>
        <w:rPr>
          <w:highlight w:val="none"/>
        </w:rPr>
      </w:pPr>
      <w:r>
        <w:rPr>
          <w:rFonts w:hint="eastAsia"/>
          <w:highlight w:val="none"/>
        </w:rPr>
        <w:t>5.4.4.8</w:t>
      </w:r>
      <w:r>
        <w:rPr>
          <w:highlight w:val="none"/>
        </w:rPr>
        <w:t>设备上须带有溶液过滤器，确保雾化装置能正常工作而不被堵塞。</w:t>
      </w:r>
    </w:p>
    <w:p w14:paraId="5B72685E">
      <w:pPr>
        <w:ind w:firstLine="480"/>
        <w:rPr>
          <w:highlight w:val="none"/>
        </w:rPr>
      </w:pPr>
      <w:r>
        <w:rPr>
          <w:rFonts w:hint="eastAsia"/>
          <w:highlight w:val="none"/>
        </w:rPr>
        <w:t>5.4.4.9</w:t>
      </w:r>
      <w:r>
        <w:rPr>
          <w:highlight w:val="none"/>
        </w:rPr>
        <w:t>工作温度：-10℃～55℃，工作介质：水</w:t>
      </w:r>
    </w:p>
    <w:p w14:paraId="5BFF80DE">
      <w:pPr>
        <w:pStyle w:val="103"/>
        <w:numPr>
          <w:ilvl w:val="2"/>
          <w:numId w:val="0"/>
        </w:numPr>
        <w:ind w:firstLine="426"/>
        <w:rPr>
          <w:highlight w:val="none"/>
        </w:rPr>
      </w:pPr>
      <w:r>
        <w:rPr>
          <w:rFonts w:hint="eastAsia"/>
          <w:highlight w:val="none"/>
        </w:rPr>
        <w:t>5.5设备清单</w:t>
      </w:r>
    </w:p>
    <w:p w14:paraId="72488795">
      <w:pPr>
        <w:pStyle w:val="95"/>
        <w:numPr>
          <w:ilvl w:val="3"/>
          <w:numId w:val="0"/>
        </w:numPr>
        <w:rPr>
          <w:szCs w:val="24"/>
          <w:highlight w:val="none"/>
        </w:rPr>
      </w:pPr>
      <w:r>
        <w:rPr>
          <w:szCs w:val="24"/>
          <w:highlight w:val="none"/>
        </w:rPr>
        <w:t>表2.5-3</w:t>
      </w:r>
      <w:r>
        <w:rPr>
          <w:rFonts w:hint="eastAsia"/>
          <w:highlight w:val="none"/>
        </w:rPr>
        <w:t>工艺设备清单统计表</w:t>
      </w:r>
    </w:p>
    <w:tbl>
      <w:tblPr>
        <w:tblStyle w:val="42"/>
        <w:tblW w:w="49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1946"/>
        <w:gridCol w:w="3558"/>
        <w:gridCol w:w="1009"/>
        <w:gridCol w:w="1009"/>
        <w:gridCol w:w="1264"/>
      </w:tblGrid>
      <w:tr w14:paraId="5113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15" w:type="pct"/>
            <w:shd w:val="clear" w:color="auto" w:fill="FFFFFF"/>
            <w:vAlign w:val="center"/>
          </w:tcPr>
          <w:p w14:paraId="51B6E6C2">
            <w:pPr>
              <w:pStyle w:val="121"/>
              <w:rPr>
                <w:highlight w:val="none"/>
              </w:rPr>
            </w:pPr>
            <w:r>
              <w:rPr>
                <w:highlight w:val="none"/>
              </w:rPr>
              <w:t>序号</w:t>
            </w:r>
          </w:p>
        </w:tc>
        <w:tc>
          <w:tcPr>
            <w:tcW w:w="993" w:type="pct"/>
            <w:shd w:val="clear" w:color="auto" w:fill="FFFFFF"/>
            <w:vAlign w:val="center"/>
          </w:tcPr>
          <w:p w14:paraId="4F6AC20E">
            <w:pPr>
              <w:pStyle w:val="121"/>
              <w:rPr>
                <w:highlight w:val="none"/>
              </w:rPr>
            </w:pPr>
            <w:r>
              <w:rPr>
                <w:highlight w:val="none"/>
              </w:rPr>
              <w:t>项目名称</w:t>
            </w:r>
          </w:p>
        </w:tc>
        <w:tc>
          <w:tcPr>
            <w:tcW w:w="1816" w:type="pct"/>
            <w:shd w:val="clear" w:color="auto" w:fill="FFFFFF"/>
            <w:vAlign w:val="center"/>
          </w:tcPr>
          <w:p w14:paraId="66975444">
            <w:pPr>
              <w:pStyle w:val="121"/>
              <w:rPr>
                <w:highlight w:val="none"/>
              </w:rPr>
            </w:pPr>
            <w:r>
              <w:rPr>
                <w:highlight w:val="none"/>
              </w:rPr>
              <w:t>设备规格</w:t>
            </w:r>
          </w:p>
        </w:tc>
        <w:tc>
          <w:tcPr>
            <w:tcW w:w="515" w:type="pct"/>
            <w:shd w:val="clear" w:color="auto" w:fill="FFFFFF"/>
            <w:vAlign w:val="center"/>
          </w:tcPr>
          <w:p w14:paraId="2460FBD6">
            <w:pPr>
              <w:pStyle w:val="121"/>
              <w:rPr>
                <w:highlight w:val="none"/>
              </w:rPr>
            </w:pPr>
            <w:r>
              <w:rPr>
                <w:highlight w:val="none"/>
              </w:rPr>
              <w:t>数量</w:t>
            </w:r>
          </w:p>
        </w:tc>
        <w:tc>
          <w:tcPr>
            <w:tcW w:w="515" w:type="pct"/>
            <w:shd w:val="clear" w:color="auto" w:fill="FFFFFF"/>
            <w:vAlign w:val="center"/>
          </w:tcPr>
          <w:p w14:paraId="00C0D2AF">
            <w:pPr>
              <w:pStyle w:val="121"/>
              <w:rPr>
                <w:highlight w:val="none"/>
              </w:rPr>
            </w:pPr>
            <w:r>
              <w:rPr>
                <w:highlight w:val="none"/>
              </w:rPr>
              <w:t>单位</w:t>
            </w:r>
          </w:p>
        </w:tc>
        <w:tc>
          <w:tcPr>
            <w:tcW w:w="645" w:type="pct"/>
            <w:shd w:val="clear" w:color="auto" w:fill="FFFFFF"/>
            <w:vAlign w:val="center"/>
          </w:tcPr>
          <w:p w14:paraId="4DE583A3">
            <w:pPr>
              <w:pStyle w:val="121"/>
              <w:rPr>
                <w:highlight w:val="none"/>
              </w:rPr>
            </w:pPr>
            <w:r>
              <w:rPr>
                <w:highlight w:val="none"/>
              </w:rPr>
              <w:t>备注</w:t>
            </w:r>
          </w:p>
        </w:tc>
      </w:tr>
      <w:tr w14:paraId="3A56B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15" w:type="pct"/>
            <w:shd w:val="clear" w:color="auto" w:fill="FFFFFF"/>
            <w:vAlign w:val="center"/>
          </w:tcPr>
          <w:p w14:paraId="0FA59652">
            <w:pPr>
              <w:pStyle w:val="121"/>
              <w:rPr>
                <w:highlight w:val="none"/>
              </w:rPr>
            </w:pPr>
            <w:r>
              <w:rPr>
                <w:highlight w:val="none"/>
              </w:rPr>
              <w:t>1</w:t>
            </w:r>
          </w:p>
        </w:tc>
        <w:tc>
          <w:tcPr>
            <w:tcW w:w="993" w:type="pct"/>
            <w:shd w:val="clear" w:color="auto" w:fill="FFFFFF"/>
            <w:vAlign w:val="center"/>
          </w:tcPr>
          <w:p w14:paraId="4AA4E86B">
            <w:pPr>
              <w:pStyle w:val="121"/>
              <w:rPr>
                <w:highlight w:val="none"/>
              </w:rPr>
            </w:pPr>
            <w:r>
              <w:rPr>
                <w:highlight w:val="none"/>
              </w:rPr>
              <w:t>链板输送机</w:t>
            </w:r>
          </w:p>
        </w:tc>
        <w:tc>
          <w:tcPr>
            <w:tcW w:w="1816" w:type="pct"/>
            <w:shd w:val="clear" w:color="auto" w:fill="FFFFFF"/>
            <w:vAlign w:val="center"/>
          </w:tcPr>
          <w:p w14:paraId="2F2E939B">
            <w:pPr>
              <w:pStyle w:val="121"/>
              <w:rPr>
                <w:highlight w:val="none"/>
              </w:rPr>
            </w:pPr>
            <w:r>
              <w:rPr>
                <w:szCs w:val="24"/>
                <w:highlight w:val="none"/>
              </w:rPr>
              <w:t>LB1800</w:t>
            </w:r>
            <w:r>
              <w:rPr>
                <w:rFonts w:hint="eastAsia"/>
                <w:szCs w:val="24"/>
                <w:highlight w:val="none"/>
              </w:rPr>
              <w:t>，长度：</w:t>
            </w:r>
            <w:r>
              <w:rPr>
                <w:szCs w:val="24"/>
                <w:highlight w:val="none"/>
              </w:rPr>
              <w:t>14000m</w:t>
            </w:r>
            <w:r>
              <w:rPr>
                <w:rFonts w:hint="eastAsia"/>
                <w:szCs w:val="24"/>
                <w:highlight w:val="none"/>
              </w:rPr>
              <w:t>，倾角：</w:t>
            </w:r>
            <w:r>
              <w:rPr>
                <w:szCs w:val="24"/>
                <w:highlight w:val="none"/>
              </w:rPr>
              <w:t>0</w:t>
            </w:r>
            <w:r>
              <w:rPr>
                <w:rFonts w:hint="eastAsia"/>
                <w:szCs w:val="24"/>
                <w:highlight w:val="none"/>
              </w:rPr>
              <w:t>°</w:t>
            </w:r>
            <w:r>
              <w:rPr>
                <w:szCs w:val="24"/>
                <w:highlight w:val="none"/>
              </w:rPr>
              <w:t>+30</w:t>
            </w:r>
            <w:r>
              <w:rPr>
                <w:rFonts w:hint="eastAsia"/>
                <w:szCs w:val="24"/>
                <w:highlight w:val="none"/>
              </w:rPr>
              <w:t>°，</w:t>
            </w:r>
            <w:r>
              <w:rPr>
                <w:rFonts w:hint="eastAsia"/>
                <w:highlight w:val="none"/>
              </w:rPr>
              <w:t xml:space="preserve"> 7.5-15</w:t>
            </w:r>
            <w:r>
              <w:rPr>
                <w:highlight w:val="none"/>
              </w:rPr>
              <w:t>KW</w:t>
            </w:r>
          </w:p>
        </w:tc>
        <w:tc>
          <w:tcPr>
            <w:tcW w:w="515" w:type="pct"/>
            <w:shd w:val="clear" w:color="auto" w:fill="FFFFFF"/>
            <w:vAlign w:val="center"/>
          </w:tcPr>
          <w:p w14:paraId="60F91C1D">
            <w:pPr>
              <w:pStyle w:val="121"/>
              <w:rPr>
                <w:highlight w:val="none"/>
              </w:rPr>
            </w:pPr>
            <w:r>
              <w:rPr>
                <w:highlight w:val="none"/>
              </w:rPr>
              <w:t>1</w:t>
            </w:r>
          </w:p>
        </w:tc>
        <w:tc>
          <w:tcPr>
            <w:tcW w:w="515" w:type="pct"/>
            <w:shd w:val="clear" w:color="auto" w:fill="FFFFFF"/>
            <w:vAlign w:val="center"/>
          </w:tcPr>
          <w:p w14:paraId="7E0D019A">
            <w:pPr>
              <w:pStyle w:val="121"/>
              <w:rPr>
                <w:highlight w:val="none"/>
              </w:rPr>
            </w:pPr>
            <w:r>
              <w:rPr>
                <w:highlight w:val="none"/>
              </w:rPr>
              <w:t>台</w:t>
            </w:r>
          </w:p>
        </w:tc>
        <w:tc>
          <w:tcPr>
            <w:tcW w:w="645" w:type="pct"/>
            <w:shd w:val="clear" w:color="auto" w:fill="FFFFFF"/>
            <w:vAlign w:val="center"/>
          </w:tcPr>
          <w:p w14:paraId="30B7B486">
            <w:pPr>
              <w:pStyle w:val="121"/>
              <w:rPr>
                <w:highlight w:val="none"/>
              </w:rPr>
            </w:pPr>
          </w:p>
        </w:tc>
      </w:tr>
      <w:tr w14:paraId="74EBF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15" w:type="pct"/>
            <w:shd w:val="clear" w:color="auto" w:fill="FFFFFF"/>
            <w:vAlign w:val="center"/>
          </w:tcPr>
          <w:p w14:paraId="0EF9B9E8">
            <w:pPr>
              <w:pStyle w:val="121"/>
              <w:rPr>
                <w:highlight w:val="none"/>
              </w:rPr>
            </w:pPr>
            <w:r>
              <w:rPr>
                <w:highlight w:val="none"/>
              </w:rPr>
              <w:t>2</w:t>
            </w:r>
          </w:p>
        </w:tc>
        <w:tc>
          <w:tcPr>
            <w:tcW w:w="993" w:type="pct"/>
            <w:shd w:val="clear" w:color="auto" w:fill="FFFFFF"/>
            <w:vAlign w:val="center"/>
          </w:tcPr>
          <w:p w14:paraId="6C78FC96">
            <w:pPr>
              <w:pStyle w:val="121"/>
              <w:rPr>
                <w:highlight w:val="none"/>
              </w:rPr>
            </w:pPr>
            <w:r>
              <w:rPr>
                <w:highlight w:val="none"/>
              </w:rPr>
              <w:t>破碎机</w:t>
            </w:r>
          </w:p>
        </w:tc>
        <w:tc>
          <w:tcPr>
            <w:tcW w:w="1816" w:type="pct"/>
            <w:shd w:val="clear" w:color="auto" w:fill="FFFFFF"/>
            <w:vAlign w:val="center"/>
          </w:tcPr>
          <w:p w14:paraId="0E5E9C64">
            <w:pPr>
              <w:pStyle w:val="121"/>
              <w:rPr>
                <w:highlight w:val="none"/>
              </w:rPr>
            </w:pPr>
            <w:r>
              <w:rPr>
                <w:highlight w:val="none"/>
              </w:rPr>
              <w:t>Q≥20t/h，功率：90KW*2</w:t>
            </w:r>
          </w:p>
        </w:tc>
        <w:tc>
          <w:tcPr>
            <w:tcW w:w="515" w:type="pct"/>
            <w:shd w:val="clear" w:color="auto" w:fill="FFFFFF"/>
            <w:vAlign w:val="center"/>
          </w:tcPr>
          <w:p w14:paraId="6DEED5A2">
            <w:pPr>
              <w:pStyle w:val="121"/>
              <w:rPr>
                <w:highlight w:val="none"/>
              </w:rPr>
            </w:pPr>
            <w:r>
              <w:rPr>
                <w:highlight w:val="none"/>
              </w:rPr>
              <w:t>1</w:t>
            </w:r>
          </w:p>
        </w:tc>
        <w:tc>
          <w:tcPr>
            <w:tcW w:w="515" w:type="pct"/>
            <w:shd w:val="clear" w:color="auto" w:fill="FFFFFF"/>
            <w:vAlign w:val="center"/>
          </w:tcPr>
          <w:p w14:paraId="792C156B">
            <w:pPr>
              <w:pStyle w:val="121"/>
              <w:rPr>
                <w:highlight w:val="none"/>
              </w:rPr>
            </w:pPr>
            <w:r>
              <w:rPr>
                <w:highlight w:val="none"/>
              </w:rPr>
              <w:t>台</w:t>
            </w:r>
          </w:p>
        </w:tc>
        <w:tc>
          <w:tcPr>
            <w:tcW w:w="645" w:type="pct"/>
            <w:shd w:val="clear" w:color="auto" w:fill="FFFFFF"/>
            <w:vAlign w:val="center"/>
          </w:tcPr>
          <w:p w14:paraId="3D673329">
            <w:pPr>
              <w:pStyle w:val="121"/>
              <w:rPr>
                <w:highlight w:val="none"/>
              </w:rPr>
            </w:pPr>
          </w:p>
        </w:tc>
      </w:tr>
      <w:tr w14:paraId="4F2F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15" w:type="pct"/>
            <w:shd w:val="clear" w:color="auto" w:fill="FFFFFF"/>
            <w:vAlign w:val="center"/>
          </w:tcPr>
          <w:p w14:paraId="4D76F16D">
            <w:pPr>
              <w:pStyle w:val="121"/>
              <w:rPr>
                <w:highlight w:val="none"/>
              </w:rPr>
            </w:pPr>
            <w:r>
              <w:rPr>
                <w:highlight w:val="none"/>
              </w:rPr>
              <w:t>3</w:t>
            </w:r>
          </w:p>
        </w:tc>
        <w:tc>
          <w:tcPr>
            <w:tcW w:w="993" w:type="pct"/>
            <w:shd w:val="clear" w:color="auto" w:fill="FFFFFF"/>
            <w:vAlign w:val="center"/>
          </w:tcPr>
          <w:p w14:paraId="299CE702">
            <w:pPr>
              <w:pStyle w:val="121"/>
              <w:rPr>
                <w:highlight w:val="none"/>
              </w:rPr>
            </w:pPr>
            <w:r>
              <w:rPr>
                <w:highlight w:val="none"/>
              </w:rPr>
              <w:t>磁选机</w:t>
            </w:r>
          </w:p>
        </w:tc>
        <w:tc>
          <w:tcPr>
            <w:tcW w:w="1816" w:type="pct"/>
            <w:shd w:val="clear" w:color="auto" w:fill="FFFFFF"/>
            <w:vAlign w:val="center"/>
          </w:tcPr>
          <w:p w14:paraId="7C98D809">
            <w:pPr>
              <w:pStyle w:val="121"/>
              <w:rPr>
                <w:highlight w:val="none"/>
              </w:rPr>
            </w:pPr>
            <w:r>
              <w:rPr>
                <w:highlight w:val="none"/>
              </w:rPr>
              <w:t>RCYD-1</w:t>
            </w:r>
            <w:r>
              <w:rPr>
                <w:rFonts w:hint="eastAsia"/>
                <w:highlight w:val="none"/>
              </w:rPr>
              <w:t>4</w:t>
            </w:r>
            <w:r>
              <w:rPr>
                <w:highlight w:val="none"/>
              </w:rPr>
              <w:t>，≥900Gs，</w:t>
            </w:r>
            <w:r>
              <w:rPr>
                <w:rFonts w:hint="eastAsia"/>
                <w:highlight w:val="none"/>
              </w:rPr>
              <w:t>4</w:t>
            </w:r>
            <w:r>
              <w:rPr>
                <w:highlight w:val="none"/>
              </w:rPr>
              <w:t>KW</w:t>
            </w:r>
          </w:p>
        </w:tc>
        <w:tc>
          <w:tcPr>
            <w:tcW w:w="515" w:type="pct"/>
            <w:shd w:val="clear" w:color="auto" w:fill="FFFFFF"/>
            <w:vAlign w:val="center"/>
          </w:tcPr>
          <w:p w14:paraId="6C23C297">
            <w:pPr>
              <w:pStyle w:val="121"/>
              <w:rPr>
                <w:highlight w:val="none"/>
              </w:rPr>
            </w:pPr>
            <w:r>
              <w:rPr>
                <w:highlight w:val="none"/>
              </w:rPr>
              <w:t>1</w:t>
            </w:r>
          </w:p>
        </w:tc>
        <w:tc>
          <w:tcPr>
            <w:tcW w:w="515" w:type="pct"/>
            <w:shd w:val="clear" w:color="auto" w:fill="FFFFFF"/>
            <w:vAlign w:val="center"/>
          </w:tcPr>
          <w:p w14:paraId="3E736237">
            <w:pPr>
              <w:pStyle w:val="121"/>
              <w:rPr>
                <w:highlight w:val="none"/>
              </w:rPr>
            </w:pPr>
            <w:r>
              <w:rPr>
                <w:highlight w:val="none"/>
              </w:rPr>
              <w:t>台</w:t>
            </w:r>
          </w:p>
        </w:tc>
        <w:tc>
          <w:tcPr>
            <w:tcW w:w="645" w:type="pct"/>
            <w:shd w:val="clear" w:color="auto" w:fill="FFFFFF"/>
            <w:vAlign w:val="center"/>
          </w:tcPr>
          <w:p w14:paraId="566AD20B">
            <w:pPr>
              <w:pStyle w:val="121"/>
              <w:rPr>
                <w:highlight w:val="none"/>
              </w:rPr>
            </w:pPr>
          </w:p>
        </w:tc>
      </w:tr>
      <w:tr w14:paraId="42FF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15" w:type="pct"/>
            <w:shd w:val="clear" w:color="auto" w:fill="FFFFFF"/>
            <w:vAlign w:val="center"/>
          </w:tcPr>
          <w:p w14:paraId="5046786E">
            <w:pPr>
              <w:pStyle w:val="121"/>
              <w:rPr>
                <w:highlight w:val="none"/>
              </w:rPr>
            </w:pPr>
            <w:bookmarkStart w:id="81" w:name="_Hlk213689641"/>
            <w:r>
              <w:rPr>
                <w:highlight w:val="none"/>
              </w:rPr>
              <w:t>4</w:t>
            </w:r>
          </w:p>
        </w:tc>
        <w:tc>
          <w:tcPr>
            <w:tcW w:w="993" w:type="pct"/>
            <w:shd w:val="clear" w:color="auto" w:fill="FFFFFF"/>
            <w:vAlign w:val="center"/>
          </w:tcPr>
          <w:p w14:paraId="0C6CCFD4">
            <w:pPr>
              <w:pStyle w:val="121"/>
              <w:rPr>
                <w:highlight w:val="none"/>
              </w:rPr>
            </w:pPr>
            <w:r>
              <w:rPr>
                <w:rFonts w:hint="eastAsia"/>
                <w:highlight w:val="none"/>
              </w:rPr>
              <w:t>1#</w:t>
            </w:r>
            <w:r>
              <w:rPr>
                <w:highlight w:val="none"/>
              </w:rPr>
              <w:t>皮带输送机</w:t>
            </w:r>
          </w:p>
        </w:tc>
        <w:tc>
          <w:tcPr>
            <w:tcW w:w="1816" w:type="pct"/>
            <w:shd w:val="clear" w:color="auto" w:fill="FFFFFF"/>
            <w:vAlign w:val="center"/>
          </w:tcPr>
          <w:p w14:paraId="753F0DBD">
            <w:pPr>
              <w:pStyle w:val="121"/>
              <w:rPr>
                <w:highlight w:val="none"/>
              </w:rPr>
            </w:pPr>
            <w:r>
              <w:rPr>
                <w:szCs w:val="24"/>
                <w:highlight w:val="none"/>
              </w:rPr>
              <w:t>PD1400</w:t>
            </w:r>
            <w:r>
              <w:rPr>
                <w:rFonts w:hint="eastAsia"/>
                <w:szCs w:val="24"/>
                <w:highlight w:val="none"/>
              </w:rPr>
              <w:t>，长度：</w:t>
            </w:r>
            <w:r>
              <w:rPr>
                <w:szCs w:val="24"/>
                <w:highlight w:val="none"/>
              </w:rPr>
              <w:t>11300mm</w:t>
            </w:r>
            <w:r>
              <w:rPr>
                <w:rFonts w:hint="eastAsia"/>
                <w:szCs w:val="24"/>
                <w:highlight w:val="none"/>
              </w:rPr>
              <w:t>，倾角：</w:t>
            </w:r>
            <w:r>
              <w:rPr>
                <w:szCs w:val="24"/>
                <w:highlight w:val="none"/>
              </w:rPr>
              <w:t>17</w:t>
            </w:r>
            <w:r>
              <w:rPr>
                <w:rFonts w:hint="eastAsia"/>
                <w:szCs w:val="24"/>
                <w:highlight w:val="none"/>
              </w:rPr>
              <w:t>°</w:t>
            </w:r>
            <w:r>
              <w:rPr>
                <w:rFonts w:hint="eastAsia"/>
                <w:highlight w:val="none"/>
              </w:rPr>
              <w:t>，11-15</w:t>
            </w:r>
            <w:r>
              <w:rPr>
                <w:highlight w:val="none"/>
              </w:rPr>
              <w:t>KW，变频，含上下罩壳全密闭</w:t>
            </w:r>
          </w:p>
        </w:tc>
        <w:tc>
          <w:tcPr>
            <w:tcW w:w="515" w:type="pct"/>
            <w:shd w:val="clear" w:color="auto" w:fill="FFFFFF"/>
            <w:vAlign w:val="center"/>
          </w:tcPr>
          <w:p w14:paraId="4DEB3CC6">
            <w:pPr>
              <w:pStyle w:val="121"/>
              <w:rPr>
                <w:highlight w:val="none"/>
              </w:rPr>
            </w:pPr>
            <w:r>
              <w:rPr>
                <w:highlight w:val="none"/>
              </w:rPr>
              <w:t>1</w:t>
            </w:r>
          </w:p>
        </w:tc>
        <w:tc>
          <w:tcPr>
            <w:tcW w:w="515" w:type="pct"/>
            <w:shd w:val="clear" w:color="auto" w:fill="FFFFFF"/>
            <w:vAlign w:val="center"/>
          </w:tcPr>
          <w:p w14:paraId="4B40587B">
            <w:pPr>
              <w:pStyle w:val="121"/>
              <w:rPr>
                <w:highlight w:val="none"/>
              </w:rPr>
            </w:pPr>
            <w:r>
              <w:rPr>
                <w:highlight w:val="none"/>
              </w:rPr>
              <w:t>套</w:t>
            </w:r>
          </w:p>
        </w:tc>
        <w:tc>
          <w:tcPr>
            <w:tcW w:w="645" w:type="pct"/>
            <w:shd w:val="clear" w:color="auto" w:fill="FFFFFF"/>
            <w:vAlign w:val="center"/>
          </w:tcPr>
          <w:p w14:paraId="7B4F86E0">
            <w:pPr>
              <w:pStyle w:val="121"/>
              <w:rPr>
                <w:highlight w:val="none"/>
              </w:rPr>
            </w:pPr>
          </w:p>
        </w:tc>
      </w:tr>
      <w:bookmarkEnd w:id="81"/>
      <w:tr w14:paraId="2F254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15" w:type="pct"/>
            <w:shd w:val="clear" w:color="auto" w:fill="FFFFFF"/>
            <w:vAlign w:val="center"/>
          </w:tcPr>
          <w:p w14:paraId="4E9A34AD">
            <w:pPr>
              <w:pStyle w:val="121"/>
              <w:rPr>
                <w:highlight w:val="none"/>
              </w:rPr>
            </w:pPr>
            <w:r>
              <w:rPr>
                <w:highlight w:val="none"/>
              </w:rPr>
              <w:t>5</w:t>
            </w:r>
          </w:p>
        </w:tc>
        <w:tc>
          <w:tcPr>
            <w:tcW w:w="993" w:type="pct"/>
            <w:shd w:val="clear" w:color="auto" w:fill="FFFFFF"/>
            <w:vAlign w:val="center"/>
          </w:tcPr>
          <w:p w14:paraId="0BAB567B">
            <w:pPr>
              <w:pStyle w:val="121"/>
              <w:rPr>
                <w:highlight w:val="none"/>
              </w:rPr>
            </w:pPr>
            <w:r>
              <w:rPr>
                <w:rFonts w:hint="eastAsia"/>
                <w:highlight w:val="none"/>
              </w:rPr>
              <w:t>2#</w:t>
            </w:r>
            <w:r>
              <w:rPr>
                <w:highlight w:val="none"/>
              </w:rPr>
              <w:t>皮带输送机</w:t>
            </w:r>
          </w:p>
        </w:tc>
        <w:tc>
          <w:tcPr>
            <w:tcW w:w="1816" w:type="pct"/>
            <w:shd w:val="clear" w:color="auto" w:fill="FFFFFF"/>
            <w:vAlign w:val="center"/>
          </w:tcPr>
          <w:p w14:paraId="64145D0E">
            <w:pPr>
              <w:pStyle w:val="121"/>
              <w:rPr>
                <w:highlight w:val="none"/>
              </w:rPr>
            </w:pPr>
            <w:r>
              <w:rPr>
                <w:szCs w:val="24"/>
                <w:highlight w:val="none"/>
              </w:rPr>
              <w:t>PD1400</w:t>
            </w:r>
            <w:r>
              <w:rPr>
                <w:rFonts w:hint="eastAsia"/>
                <w:szCs w:val="24"/>
                <w:highlight w:val="none"/>
              </w:rPr>
              <w:t>，长度：7</w:t>
            </w:r>
            <w:r>
              <w:rPr>
                <w:szCs w:val="24"/>
                <w:highlight w:val="none"/>
              </w:rPr>
              <w:t>300mm</w:t>
            </w:r>
            <w:r>
              <w:rPr>
                <w:rFonts w:hint="eastAsia"/>
                <w:szCs w:val="24"/>
                <w:highlight w:val="none"/>
              </w:rPr>
              <w:t>，倾角：</w:t>
            </w:r>
            <w:r>
              <w:rPr>
                <w:szCs w:val="24"/>
                <w:highlight w:val="none"/>
              </w:rPr>
              <w:t>17</w:t>
            </w:r>
            <w:r>
              <w:rPr>
                <w:rFonts w:hint="eastAsia"/>
                <w:szCs w:val="24"/>
                <w:highlight w:val="none"/>
              </w:rPr>
              <w:t>°</w:t>
            </w:r>
            <w:r>
              <w:rPr>
                <w:rFonts w:hint="eastAsia"/>
                <w:highlight w:val="none"/>
              </w:rPr>
              <w:t>，6-12</w:t>
            </w:r>
            <w:r>
              <w:rPr>
                <w:highlight w:val="none"/>
              </w:rPr>
              <w:t>KW，变频，含上下罩壳全密闭</w:t>
            </w:r>
          </w:p>
        </w:tc>
        <w:tc>
          <w:tcPr>
            <w:tcW w:w="515" w:type="pct"/>
            <w:shd w:val="clear" w:color="auto" w:fill="FFFFFF"/>
            <w:vAlign w:val="center"/>
          </w:tcPr>
          <w:p w14:paraId="44FEBA4B">
            <w:pPr>
              <w:pStyle w:val="121"/>
              <w:rPr>
                <w:highlight w:val="none"/>
              </w:rPr>
            </w:pPr>
            <w:r>
              <w:rPr>
                <w:highlight w:val="none"/>
              </w:rPr>
              <w:t>1</w:t>
            </w:r>
          </w:p>
        </w:tc>
        <w:tc>
          <w:tcPr>
            <w:tcW w:w="515" w:type="pct"/>
            <w:shd w:val="clear" w:color="auto" w:fill="FFFFFF"/>
            <w:vAlign w:val="center"/>
          </w:tcPr>
          <w:p w14:paraId="1CEFF2D2">
            <w:pPr>
              <w:pStyle w:val="121"/>
              <w:rPr>
                <w:highlight w:val="none"/>
              </w:rPr>
            </w:pPr>
            <w:r>
              <w:rPr>
                <w:highlight w:val="none"/>
              </w:rPr>
              <w:t>套</w:t>
            </w:r>
          </w:p>
        </w:tc>
        <w:tc>
          <w:tcPr>
            <w:tcW w:w="645" w:type="pct"/>
            <w:shd w:val="clear" w:color="auto" w:fill="FFFFFF"/>
            <w:vAlign w:val="center"/>
          </w:tcPr>
          <w:p w14:paraId="6332E695">
            <w:pPr>
              <w:pStyle w:val="121"/>
              <w:rPr>
                <w:highlight w:val="none"/>
              </w:rPr>
            </w:pPr>
          </w:p>
        </w:tc>
      </w:tr>
      <w:tr w14:paraId="78F1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15" w:type="pct"/>
            <w:shd w:val="clear" w:color="auto" w:fill="FFFFFF"/>
            <w:vAlign w:val="center"/>
          </w:tcPr>
          <w:p w14:paraId="59023C8D">
            <w:pPr>
              <w:pStyle w:val="121"/>
              <w:rPr>
                <w:highlight w:val="none"/>
              </w:rPr>
            </w:pPr>
            <w:r>
              <w:rPr>
                <w:highlight w:val="none"/>
              </w:rPr>
              <w:t>6</w:t>
            </w:r>
          </w:p>
        </w:tc>
        <w:tc>
          <w:tcPr>
            <w:tcW w:w="993" w:type="pct"/>
            <w:shd w:val="clear" w:color="auto" w:fill="FFFFFF"/>
            <w:vAlign w:val="center"/>
          </w:tcPr>
          <w:p w14:paraId="4A864378">
            <w:pPr>
              <w:pStyle w:val="121"/>
              <w:rPr>
                <w:highlight w:val="none"/>
              </w:rPr>
            </w:pPr>
            <w:r>
              <w:rPr>
                <w:rFonts w:hint="eastAsia"/>
                <w:highlight w:val="none"/>
              </w:rPr>
              <w:t>袋式</w:t>
            </w:r>
            <w:r>
              <w:rPr>
                <w:highlight w:val="none"/>
              </w:rPr>
              <w:t>除尘器</w:t>
            </w:r>
          </w:p>
        </w:tc>
        <w:tc>
          <w:tcPr>
            <w:tcW w:w="1816" w:type="pct"/>
            <w:shd w:val="clear" w:color="auto" w:fill="FFFFFF"/>
            <w:vAlign w:val="center"/>
          </w:tcPr>
          <w:p w14:paraId="617FC469">
            <w:pPr>
              <w:pStyle w:val="121"/>
              <w:rPr>
                <w:highlight w:val="none"/>
              </w:rPr>
            </w:pPr>
            <w:r>
              <w:rPr>
                <w:highlight w:val="none"/>
              </w:rPr>
              <w:t>Q=5000</w:t>
            </w:r>
            <w:r>
              <w:rPr>
                <w:rFonts w:hint="eastAsia"/>
                <w:highlight w:val="none"/>
              </w:rPr>
              <w:t>-10000</w:t>
            </w:r>
            <w:r>
              <w:rPr>
                <w:highlight w:val="none"/>
              </w:rPr>
              <w:t>m³/h，功率：</w:t>
            </w:r>
            <w:r>
              <w:rPr>
                <w:rFonts w:hint="eastAsia"/>
                <w:highlight w:val="none"/>
              </w:rPr>
              <w:t>17-23</w:t>
            </w:r>
            <w:r>
              <w:rPr>
                <w:highlight w:val="none"/>
              </w:rPr>
              <w:t>KW，含排气筒</w:t>
            </w:r>
            <w:r>
              <w:rPr>
                <w:rFonts w:hint="eastAsia"/>
                <w:highlight w:val="none"/>
              </w:rPr>
              <w:t xml:space="preserve"> H=17m</w:t>
            </w:r>
          </w:p>
        </w:tc>
        <w:tc>
          <w:tcPr>
            <w:tcW w:w="515" w:type="pct"/>
            <w:shd w:val="clear" w:color="auto" w:fill="FFFFFF"/>
            <w:vAlign w:val="center"/>
          </w:tcPr>
          <w:p w14:paraId="14E79553">
            <w:pPr>
              <w:pStyle w:val="121"/>
              <w:rPr>
                <w:highlight w:val="none"/>
              </w:rPr>
            </w:pPr>
            <w:r>
              <w:rPr>
                <w:highlight w:val="none"/>
              </w:rPr>
              <w:t>1</w:t>
            </w:r>
          </w:p>
        </w:tc>
        <w:tc>
          <w:tcPr>
            <w:tcW w:w="515" w:type="pct"/>
            <w:shd w:val="clear" w:color="auto" w:fill="FFFFFF"/>
            <w:vAlign w:val="center"/>
          </w:tcPr>
          <w:p w14:paraId="13411AA9">
            <w:pPr>
              <w:pStyle w:val="121"/>
              <w:rPr>
                <w:highlight w:val="none"/>
              </w:rPr>
            </w:pPr>
            <w:r>
              <w:rPr>
                <w:highlight w:val="none"/>
              </w:rPr>
              <w:t>台</w:t>
            </w:r>
          </w:p>
        </w:tc>
        <w:tc>
          <w:tcPr>
            <w:tcW w:w="645" w:type="pct"/>
            <w:shd w:val="clear" w:color="auto" w:fill="FFFFFF"/>
            <w:vAlign w:val="center"/>
          </w:tcPr>
          <w:p w14:paraId="6A71978D">
            <w:pPr>
              <w:pStyle w:val="121"/>
              <w:rPr>
                <w:highlight w:val="none"/>
              </w:rPr>
            </w:pPr>
            <w:r>
              <w:rPr>
                <w:highlight w:val="none"/>
              </w:rPr>
              <w:t>含管道</w:t>
            </w:r>
          </w:p>
        </w:tc>
      </w:tr>
      <w:tr w14:paraId="09F1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15" w:type="pct"/>
            <w:shd w:val="clear" w:color="auto" w:fill="FFFFFF"/>
            <w:vAlign w:val="center"/>
          </w:tcPr>
          <w:p w14:paraId="55C431F8">
            <w:pPr>
              <w:pStyle w:val="121"/>
              <w:rPr>
                <w:highlight w:val="none"/>
              </w:rPr>
            </w:pPr>
            <w:r>
              <w:rPr>
                <w:highlight w:val="none"/>
              </w:rPr>
              <w:t>7</w:t>
            </w:r>
          </w:p>
        </w:tc>
        <w:tc>
          <w:tcPr>
            <w:tcW w:w="993" w:type="pct"/>
            <w:shd w:val="clear" w:color="auto" w:fill="FFFFFF"/>
            <w:vAlign w:val="center"/>
          </w:tcPr>
          <w:p w14:paraId="04E3C804">
            <w:pPr>
              <w:pStyle w:val="121"/>
              <w:rPr>
                <w:highlight w:val="none"/>
              </w:rPr>
            </w:pPr>
            <w:r>
              <w:rPr>
                <w:highlight w:val="none"/>
              </w:rPr>
              <w:t>喷淋降尘系统</w:t>
            </w:r>
          </w:p>
        </w:tc>
        <w:tc>
          <w:tcPr>
            <w:tcW w:w="1816" w:type="pct"/>
            <w:shd w:val="clear" w:color="auto" w:fill="FFFFFF"/>
            <w:vAlign w:val="center"/>
          </w:tcPr>
          <w:p w14:paraId="23A71A0D">
            <w:pPr>
              <w:pStyle w:val="121"/>
              <w:rPr>
                <w:highlight w:val="none"/>
              </w:rPr>
            </w:pPr>
            <w:r>
              <w:rPr>
                <w:rFonts w:hint="eastAsia"/>
                <w:highlight w:val="none"/>
              </w:rPr>
              <w:t>喷头数：</w:t>
            </w:r>
            <w:r>
              <w:rPr>
                <w:highlight w:val="none"/>
              </w:rPr>
              <w:t>≥</w:t>
            </w:r>
            <w:r>
              <w:rPr>
                <w:rFonts w:hint="eastAsia"/>
                <w:highlight w:val="none"/>
              </w:rPr>
              <w:t>140个</w:t>
            </w:r>
            <w:r>
              <w:rPr>
                <w:highlight w:val="none"/>
              </w:rPr>
              <w:t xml:space="preserve"> </w:t>
            </w:r>
            <w:r>
              <w:rPr>
                <w:rFonts w:hint="eastAsia"/>
                <w:highlight w:val="none"/>
              </w:rPr>
              <w:t>覆盖范围≥12</w:t>
            </w:r>
            <w:r>
              <w:rPr>
                <w:highlight w:val="none"/>
              </w:rPr>
              <w:t>00m2</w:t>
            </w:r>
          </w:p>
        </w:tc>
        <w:tc>
          <w:tcPr>
            <w:tcW w:w="515" w:type="pct"/>
            <w:shd w:val="clear" w:color="auto" w:fill="FFFFFF"/>
            <w:vAlign w:val="center"/>
          </w:tcPr>
          <w:p w14:paraId="64C9C6A0">
            <w:pPr>
              <w:pStyle w:val="121"/>
              <w:rPr>
                <w:highlight w:val="none"/>
              </w:rPr>
            </w:pPr>
            <w:r>
              <w:rPr>
                <w:highlight w:val="none"/>
              </w:rPr>
              <w:t>1</w:t>
            </w:r>
          </w:p>
        </w:tc>
        <w:tc>
          <w:tcPr>
            <w:tcW w:w="515" w:type="pct"/>
            <w:shd w:val="clear" w:color="auto" w:fill="FFFFFF"/>
            <w:vAlign w:val="center"/>
          </w:tcPr>
          <w:p w14:paraId="6B677B69">
            <w:pPr>
              <w:pStyle w:val="121"/>
              <w:rPr>
                <w:highlight w:val="none"/>
              </w:rPr>
            </w:pPr>
            <w:r>
              <w:rPr>
                <w:highlight w:val="none"/>
              </w:rPr>
              <w:t>套</w:t>
            </w:r>
          </w:p>
        </w:tc>
        <w:tc>
          <w:tcPr>
            <w:tcW w:w="645" w:type="pct"/>
            <w:shd w:val="clear" w:color="auto" w:fill="FFFFFF"/>
            <w:vAlign w:val="center"/>
          </w:tcPr>
          <w:p w14:paraId="1DE951FD">
            <w:pPr>
              <w:pStyle w:val="121"/>
              <w:rPr>
                <w:highlight w:val="none"/>
              </w:rPr>
            </w:pPr>
          </w:p>
        </w:tc>
      </w:tr>
      <w:tr w14:paraId="1429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15" w:type="pct"/>
            <w:shd w:val="clear" w:color="auto" w:fill="FFFFFF"/>
            <w:vAlign w:val="center"/>
          </w:tcPr>
          <w:p w14:paraId="40252B0B">
            <w:pPr>
              <w:pStyle w:val="121"/>
              <w:rPr>
                <w:highlight w:val="none"/>
              </w:rPr>
            </w:pPr>
            <w:r>
              <w:rPr>
                <w:highlight w:val="none"/>
              </w:rPr>
              <w:t>8</w:t>
            </w:r>
          </w:p>
        </w:tc>
        <w:tc>
          <w:tcPr>
            <w:tcW w:w="993" w:type="pct"/>
            <w:shd w:val="clear" w:color="auto" w:fill="FFFFFF"/>
            <w:vAlign w:val="center"/>
          </w:tcPr>
          <w:p w14:paraId="029C3A6A">
            <w:pPr>
              <w:pStyle w:val="121"/>
              <w:rPr>
                <w:highlight w:val="none"/>
              </w:rPr>
            </w:pPr>
            <w:r>
              <w:rPr>
                <w:highlight w:val="none"/>
              </w:rPr>
              <w:t>钢结构平台及爬梯</w:t>
            </w:r>
          </w:p>
        </w:tc>
        <w:tc>
          <w:tcPr>
            <w:tcW w:w="1816" w:type="pct"/>
            <w:shd w:val="clear" w:color="auto" w:fill="FFFFFF"/>
            <w:vAlign w:val="center"/>
          </w:tcPr>
          <w:p w14:paraId="031C858E">
            <w:pPr>
              <w:pStyle w:val="121"/>
              <w:rPr>
                <w:highlight w:val="none"/>
              </w:rPr>
            </w:pPr>
            <w:r>
              <w:rPr>
                <w:highlight w:val="none"/>
              </w:rPr>
              <w:t>系统配套</w:t>
            </w:r>
          </w:p>
        </w:tc>
        <w:tc>
          <w:tcPr>
            <w:tcW w:w="515" w:type="pct"/>
            <w:shd w:val="clear" w:color="auto" w:fill="FFFFFF"/>
            <w:vAlign w:val="center"/>
          </w:tcPr>
          <w:p w14:paraId="2C88BF6F">
            <w:pPr>
              <w:pStyle w:val="121"/>
              <w:rPr>
                <w:highlight w:val="none"/>
              </w:rPr>
            </w:pPr>
            <w:r>
              <w:rPr>
                <w:highlight w:val="none"/>
              </w:rPr>
              <w:t>1</w:t>
            </w:r>
          </w:p>
        </w:tc>
        <w:tc>
          <w:tcPr>
            <w:tcW w:w="515" w:type="pct"/>
            <w:shd w:val="clear" w:color="auto" w:fill="FFFFFF"/>
            <w:vAlign w:val="center"/>
          </w:tcPr>
          <w:p w14:paraId="68B031C5">
            <w:pPr>
              <w:pStyle w:val="121"/>
              <w:rPr>
                <w:highlight w:val="none"/>
              </w:rPr>
            </w:pPr>
            <w:r>
              <w:rPr>
                <w:highlight w:val="none"/>
              </w:rPr>
              <w:t>套</w:t>
            </w:r>
          </w:p>
        </w:tc>
        <w:tc>
          <w:tcPr>
            <w:tcW w:w="645" w:type="pct"/>
            <w:shd w:val="clear" w:color="auto" w:fill="FFFFFF"/>
            <w:vAlign w:val="center"/>
          </w:tcPr>
          <w:p w14:paraId="7890B913">
            <w:pPr>
              <w:pStyle w:val="121"/>
              <w:rPr>
                <w:highlight w:val="none"/>
              </w:rPr>
            </w:pPr>
          </w:p>
        </w:tc>
      </w:tr>
      <w:tr w14:paraId="426FB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15" w:type="pct"/>
            <w:shd w:val="clear" w:color="auto" w:fill="FFFFFF"/>
            <w:vAlign w:val="center"/>
          </w:tcPr>
          <w:p w14:paraId="5F9B19A9">
            <w:pPr>
              <w:pStyle w:val="121"/>
              <w:rPr>
                <w:highlight w:val="none"/>
              </w:rPr>
            </w:pPr>
            <w:r>
              <w:rPr>
                <w:highlight w:val="none"/>
              </w:rPr>
              <w:t>9</w:t>
            </w:r>
          </w:p>
        </w:tc>
        <w:tc>
          <w:tcPr>
            <w:tcW w:w="993" w:type="pct"/>
            <w:shd w:val="clear" w:color="auto" w:fill="FFFFFF"/>
            <w:vAlign w:val="center"/>
          </w:tcPr>
          <w:p w14:paraId="3C6AB7A3">
            <w:pPr>
              <w:pStyle w:val="121"/>
              <w:rPr>
                <w:highlight w:val="none"/>
              </w:rPr>
            </w:pPr>
            <w:r>
              <w:rPr>
                <w:highlight w:val="none"/>
              </w:rPr>
              <w:t>电气自控及电缆桥架</w:t>
            </w:r>
          </w:p>
        </w:tc>
        <w:tc>
          <w:tcPr>
            <w:tcW w:w="1816" w:type="pct"/>
            <w:shd w:val="clear" w:color="auto" w:fill="FFFFFF"/>
            <w:vAlign w:val="center"/>
          </w:tcPr>
          <w:p w14:paraId="04748A4A">
            <w:pPr>
              <w:pStyle w:val="121"/>
              <w:rPr>
                <w:highlight w:val="none"/>
              </w:rPr>
            </w:pPr>
            <w:r>
              <w:rPr>
                <w:highlight w:val="none"/>
              </w:rPr>
              <w:t>系统配套</w:t>
            </w:r>
          </w:p>
        </w:tc>
        <w:tc>
          <w:tcPr>
            <w:tcW w:w="515" w:type="pct"/>
            <w:shd w:val="clear" w:color="auto" w:fill="FFFFFF"/>
            <w:vAlign w:val="center"/>
          </w:tcPr>
          <w:p w14:paraId="475E24DB">
            <w:pPr>
              <w:pStyle w:val="121"/>
              <w:rPr>
                <w:highlight w:val="none"/>
              </w:rPr>
            </w:pPr>
            <w:r>
              <w:rPr>
                <w:highlight w:val="none"/>
              </w:rPr>
              <w:t>1</w:t>
            </w:r>
          </w:p>
        </w:tc>
        <w:tc>
          <w:tcPr>
            <w:tcW w:w="515" w:type="pct"/>
            <w:shd w:val="clear" w:color="auto" w:fill="FFFFFF"/>
            <w:vAlign w:val="center"/>
          </w:tcPr>
          <w:p w14:paraId="4A8A18D8">
            <w:pPr>
              <w:pStyle w:val="121"/>
              <w:rPr>
                <w:highlight w:val="none"/>
              </w:rPr>
            </w:pPr>
            <w:r>
              <w:rPr>
                <w:highlight w:val="none"/>
              </w:rPr>
              <w:t>套</w:t>
            </w:r>
          </w:p>
        </w:tc>
        <w:tc>
          <w:tcPr>
            <w:tcW w:w="645" w:type="pct"/>
            <w:shd w:val="clear" w:color="auto" w:fill="FFFFFF"/>
            <w:vAlign w:val="center"/>
          </w:tcPr>
          <w:p w14:paraId="5B3C498E">
            <w:pPr>
              <w:pStyle w:val="121"/>
              <w:rPr>
                <w:highlight w:val="none"/>
              </w:rPr>
            </w:pPr>
          </w:p>
        </w:tc>
      </w:tr>
      <w:tr w14:paraId="2C45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15" w:type="pct"/>
            <w:shd w:val="clear" w:color="auto" w:fill="FFFFFF"/>
            <w:vAlign w:val="center"/>
          </w:tcPr>
          <w:p w14:paraId="4E15914C">
            <w:pPr>
              <w:pStyle w:val="121"/>
              <w:rPr>
                <w:highlight w:val="none"/>
              </w:rPr>
            </w:pPr>
            <w:r>
              <w:rPr>
                <w:rFonts w:hint="eastAsia"/>
                <w:highlight w:val="none"/>
              </w:rPr>
              <w:t>10</w:t>
            </w:r>
          </w:p>
        </w:tc>
        <w:tc>
          <w:tcPr>
            <w:tcW w:w="993" w:type="pct"/>
            <w:shd w:val="clear" w:color="auto" w:fill="FFFFFF"/>
            <w:vAlign w:val="center"/>
          </w:tcPr>
          <w:p w14:paraId="05F558B7">
            <w:pPr>
              <w:pStyle w:val="121"/>
              <w:rPr>
                <w:highlight w:val="none"/>
              </w:rPr>
            </w:pPr>
            <w:r>
              <w:rPr>
                <w:rFonts w:hint="eastAsia"/>
                <w:highlight w:val="none"/>
              </w:rPr>
              <w:t>装载机</w:t>
            </w:r>
          </w:p>
        </w:tc>
        <w:tc>
          <w:tcPr>
            <w:tcW w:w="1816" w:type="pct"/>
            <w:shd w:val="clear" w:color="auto" w:fill="FFFFFF"/>
            <w:vAlign w:val="center"/>
          </w:tcPr>
          <w:p w14:paraId="31EDEB02">
            <w:pPr>
              <w:pStyle w:val="121"/>
              <w:rPr>
                <w:highlight w:val="none"/>
              </w:rPr>
            </w:pPr>
            <w:r>
              <w:rPr>
                <w:rFonts w:hint="eastAsia"/>
                <w:highlight w:val="none"/>
              </w:rPr>
              <w:t>5</w:t>
            </w:r>
            <w:r>
              <w:rPr>
                <w:highlight w:val="none"/>
              </w:rPr>
              <w:t>t</w:t>
            </w:r>
          </w:p>
        </w:tc>
        <w:tc>
          <w:tcPr>
            <w:tcW w:w="515" w:type="pct"/>
            <w:shd w:val="clear" w:color="auto" w:fill="FFFFFF"/>
            <w:vAlign w:val="center"/>
          </w:tcPr>
          <w:p w14:paraId="75F95BB1">
            <w:pPr>
              <w:pStyle w:val="121"/>
              <w:rPr>
                <w:highlight w:val="none"/>
              </w:rPr>
            </w:pPr>
            <w:r>
              <w:rPr>
                <w:highlight w:val="none"/>
              </w:rPr>
              <w:t>1</w:t>
            </w:r>
          </w:p>
        </w:tc>
        <w:tc>
          <w:tcPr>
            <w:tcW w:w="515" w:type="pct"/>
            <w:shd w:val="clear" w:color="auto" w:fill="FFFFFF"/>
            <w:vAlign w:val="center"/>
          </w:tcPr>
          <w:p w14:paraId="02C33D32">
            <w:pPr>
              <w:pStyle w:val="121"/>
              <w:rPr>
                <w:highlight w:val="none"/>
              </w:rPr>
            </w:pPr>
            <w:r>
              <w:rPr>
                <w:highlight w:val="none"/>
              </w:rPr>
              <w:t>辆</w:t>
            </w:r>
          </w:p>
        </w:tc>
        <w:tc>
          <w:tcPr>
            <w:tcW w:w="645" w:type="pct"/>
            <w:shd w:val="clear" w:color="auto" w:fill="FFFFFF"/>
            <w:vAlign w:val="center"/>
          </w:tcPr>
          <w:p w14:paraId="6B52DD16">
            <w:pPr>
              <w:pStyle w:val="121"/>
              <w:rPr>
                <w:highlight w:val="none"/>
              </w:rPr>
            </w:pPr>
          </w:p>
        </w:tc>
      </w:tr>
      <w:tr w14:paraId="19B0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15" w:type="pct"/>
            <w:shd w:val="clear" w:color="auto" w:fill="FFFFFF"/>
            <w:vAlign w:val="center"/>
          </w:tcPr>
          <w:p w14:paraId="0052E3DB">
            <w:pPr>
              <w:pStyle w:val="121"/>
              <w:rPr>
                <w:highlight w:val="none"/>
              </w:rPr>
            </w:pPr>
            <w:r>
              <w:rPr>
                <w:rFonts w:hint="eastAsia"/>
                <w:highlight w:val="none"/>
              </w:rPr>
              <w:t>11</w:t>
            </w:r>
          </w:p>
        </w:tc>
        <w:tc>
          <w:tcPr>
            <w:tcW w:w="993" w:type="pct"/>
            <w:shd w:val="clear" w:color="auto" w:fill="FFFFFF"/>
            <w:vAlign w:val="center"/>
          </w:tcPr>
          <w:p w14:paraId="751FE602">
            <w:pPr>
              <w:pStyle w:val="121"/>
              <w:rPr>
                <w:highlight w:val="none"/>
              </w:rPr>
            </w:pPr>
            <w:r>
              <w:rPr>
                <w:highlight w:val="none"/>
              </w:rPr>
              <w:t>工艺监控</w:t>
            </w:r>
          </w:p>
        </w:tc>
        <w:tc>
          <w:tcPr>
            <w:tcW w:w="1816" w:type="pct"/>
            <w:shd w:val="clear" w:color="auto" w:fill="FFFFFF"/>
            <w:vAlign w:val="center"/>
          </w:tcPr>
          <w:p w14:paraId="157A1EC2">
            <w:pPr>
              <w:pStyle w:val="121"/>
              <w:rPr>
                <w:highlight w:val="none"/>
              </w:rPr>
            </w:pPr>
            <w:r>
              <w:rPr>
                <w:highlight w:val="none"/>
              </w:rPr>
              <w:t>枪型摄像机</w:t>
            </w:r>
            <w:r>
              <w:rPr>
                <w:rFonts w:hint="eastAsia"/>
                <w:highlight w:val="none"/>
              </w:rPr>
              <w:t>3</w:t>
            </w:r>
            <w:r>
              <w:rPr>
                <w:highlight w:val="none"/>
              </w:rPr>
              <w:t>个，</w:t>
            </w:r>
            <w:r>
              <w:rPr>
                <w:rFonts w:hint="eastAsia"/>
                <w:highlight w:val="none"/>
              </w:rPr>
              <w:t>红外夜视型，400万像素，IP65</w:t>
            </w:r>
          </w:p>
        </w:tc>
        <w:tc>
          <w:tcPr>
            <w:tcW w:w="515" w:type="pct"/>
            <w:shd w:val="clear" w:color="auto" w:fill="FFFFFF"/>
            <w:vAlign w:val="center"/>
          </w:tcPr>
          <w:p w14:paraId="7CC3666F">
            <w:pPr>
              <w:pStyle w:val="121"/>
              <w:rPr>
                <w:highlight w:val="none"/>
              </w:rPr>
            </w:pPr>
            <w:r>
              <w:rPr>
                <w:highlight w:val="none"/>
              </w:rPr>
              <w:t>套</w:t>
            </w:r>
          </w:p>
        </w:tc>
        <w:tc>
          <w:tcPr>
            <w:tcW w:w="515" w:type="pct"/>
            <w:shd w:val="clear" w:color="auto" w:fill="FFFFFF"/>
            <w:vAlign w:val="center"/>
          </w:tcPr>
          <w:p w14:paraId="04A4DA9A">
            <w:pPr>
              <w:pStyle w:val="121"/>
              <w:rPr>
                <w:highlight w:val="none"/>
              </w:rPr>
            </w:pPr>
            <w:r>
              <w:rPr>
                <w:rFonts w:hint="eastAsia"/>
                <w:highlight w:val="none"/>
              </w:rPr>
              <w:t>3</w:t>
            </w:r>
          </w:p>
        </w:tc>
        <w:tc>
          <w:tcPr>
            <w:tcW w:w="645" w:type="pct"/>
            <w:shd w:val="clear" w:color="auto" w:fill="FFFFFF"/>
            <w:vAlign w:val="center"/>
          </w:tcPr>
          <w:p w14:paraId="2137BD02">
            <w:pPr>
              <w:pStyle w:val="121"/>
              <w:rPr>
                <w:highlight w:val="none"/>
              </w:rPr>
            </w:pPr>
          </w:p>
        </w:tc>
      </w:tr>
    </w:tbl>
    <w:p w14:paraId="4C23797A">
      <w:pPr>
        <w:ind w:firstLine="480"/>
        <w:rPr>
          <w:bCs/>
          <w:highlight w:val="none"/>
        </w:rPr>
      </w:pPr>
      <w:bookmarkStart w:id="82" w:name="OLE_LINK254"/>
      <w:r>
        <w:rPr>
          <w:rFonts w:hint="eastAsia"/>
          <w:bCs/>
          <w:highlight w:val="none"/>
        </w:rPr>
        <w:t>备注：（1）以上主要设备一览表清单作为招标工程最低要求，供投标人参考，最终供货应满足项目施工需要，如上表有需要补充的清单，投标人需无条件满足，价格不作调整。具体设备尺寸仅做参考，在满足项目需要的前提下投标人可自行优化调整。</w:t>
      </w:r>
    </w:p>
    <w:p w14:paraId="4D3ECF33">
      <w:pPr>
        <w:ind w:firstLine="480"/>
        <w:rPr>
          <w:bCs/>
          <w:highlight w:val="none"/>
        </w:rPr>
      </w:pPr>
      <w:r>
        <w:rPr>
          <w:rFonts w:hint="eastAsia"/>
          <w:bCs/>
          <w:highlight w:val="none"/>
        </w:rPr>
        <w:t>（2）为了响应国家的节能政策，投标人应为机械设备配置能耗低、效率高的节能型电动机。所有电动机的自然功率因数不低于0.8。所有电动机均采用节能电动机，电动机的能效等级应达到GB18613-2020《中小型三相异步电动机能效限定值及能效等级》中规定的2级标准，同时需具有2级中国能效标识。投标人在投标文件中提供所投产品电机能效等级的证明文件。</w:t>
      </w:r>
    </w:p>
    <w:bookmarkEnd w:id="82"/>
    <w:p w14:paraId="075E6ACC">
      <w:pPr>
        <w:pStyle w:val="101"/>
        <w:numPr>
          <w:ilvl w:val="1"/>
          <w:numId w:val="0"/>
        </w:numPr>
        <w:rPr>
          <w:highlight w:val="none"/>
        </w:rPr>
      </w:pPr>
      <w:r>
        <w:rPr>
          <w:rFonts w:hint="eastAsia"/>
          <w:highlight w:val="none"/>
        </w:rPr>
        <w:t>六、可回收物分拣技术参数要求</w:t>
      </w:r>
    </w:p>
    <w:p w14:paraId="4489AA42">
      <w:pPr>
        <w:pStyle w:val="103"/>
        <w:numPr>
          <w:ilvl w:val="2"/>
          <w:numId w:val="0"/>
        </w:numPr>
        <w:ind w:firstLine="426"/>
        <w:rPr>
          <w:highlight w:val="none"/>
        </w:rPr>
      </w:pPr>
      <w:bookmarkStart w:id="83" w:name="_Toc199166304"/>
      <w:r>
        <w:rPr>
          <w:rFonts w:hint="eastAsia"/>
          <w:highlight w:val="none"/>
        </w:rPr>
        <w:t>6.1</w:t>
      </w:r>
      <w:r>
        <w:rPr>
          <w:highlight w:val="none"/>
        </w:rPr>
        <w:t>总体工艺流程</w:t>
      </w:r>
      <w:bookmarkEnd w:id="83"/>
    </w:p>
    <w:p w14:paraId="69F7A8DC">
      <w:pPr>
        <w:ind w:firstLine="480"/>
        <w:rPr>
          <w:highlight w:val="none"/>
        </w:rPr>
      </w:pPr>
      <w:bookmarkStart w:id="84" w:name="OLE_LINK148"/>
      <w:r>
        <w:rPr>
          <w:rFonts w:hint="eastAsia"/>
          <w:highlight w:val="none"/>
        </w:rPr>
        <w:t>6.1.1在再生资源分拣车间东南侧区域设置分拣车间，可分拣废纸4</w:t>
      </w:r>
      <w:r>
        <w:rPr>
          <w:highlight w:val="none"/>
        </w:rPr>
        <w:t>000t/a</w:t>
      </w:r>
      <w:r>
        <w:rPr>
          <w:rFonts w:hint="eastAsia"/>
          <w:highlight w:val="none"/>
        </w:rPr>
        <w:t>、废塑料30</w:t>
      </w:r>
      <w:r>
        <w:rPr>
          <w:highlight w:val="none"/>
        </w:rPr>
        <w:t>00t/a</w:t>
      </w:r>
      <w:r>
        <w:rPr>
          <w:rFonts w:hint="eastAsia"/>
          <w:highlight w:val="none"/>
        </w:rPr>
        <w:t>、废玻璃15</w:t>
      </w:r>
      <w:r>
        <w:rPr>
          <w:highlight w:val="none"/>
        </w:rPr>
        <w:t>00t/a</w:t>
      </w:r>
      <w:r>
        <w:rPr>
          <w:rFonts w:hint="eastAsia"/>
          <w:highlight w:val="none"/>
        </w:rPr>
        <w:t>、废泡沫150</w:t>
      </w:r>
      <w:r>
        <w:rPr>
          <w:highlight w:val="none"/>
        </w:rPr>
        <w:t>0t/a，合计</w:t>
      </w:r>
      <w:r>
        <w:rPr>
          <w:rFonts w:hint="eastAsia"/>
          <w:highlight w:val="none"/>
        </w:rPr>
        <w:t>10</w:t>
      </w:r>
      <w:r>
        <w:rPr>
          <w:highlight w:val="none"/>
        </w:rPr>
        <w:t>000吨/年，约</w:t>
      </w:r>
      <w:r>
        <w:rPr>
          <w:rFonts w:hint="eastAsia"/>
          <w:highlight w:val="none"/>
        </w:rPr>
        <w:t>33</w:t>
      </w:r>
      <w:r>
        <w:rPr>
          <w:highlight w:val="none"/>
        </w:rPr>
        <w:t>吨/天。采用</w:t>
      </w:r>
      <w:r>
        <w:rPr>
          <w:rFonts w:hint="eastAsia"/>
          <w:highlight w:val="none"/>
        </w:rPr>
        <w:t>“</w:t>
      </w:r>
      <w:r>
        <w:rPr>
          <w:highlight w:val="none"/>
        </w:rPr>
        <w:t>人工分拣+</w:t>
      </w:r>
      <w:r>
        <w:rPr>
          <w:rFonts w:hint="eastAsia"/>
          <w:highlight w:val="none"/>
        </w:rPr>
        <w:t>分类</w:t>
      </w:r>
      <w:r>
        <w:rPr>
          <w:highlight w:val="none"/>
        </w:rPr>
        <w:t>打包+分类暂存</w:t>
      </w:r>
      <w:r>
        <w:rPr>
          <w:rFonts w:hint="eastAsia"/>
          <w:highlight w:val="none"/>
        </w:rPr>
        <w:t>”</w:t>
      </w:r>
      <w:r>
        <w:rPr>
          <w:highlight w:val="none"/>
        </w:rPr>
        <w:t>的工艺，提高再生资源资源化利用率。</w:t>
      </w:r>
    </w:p>
    <w:bookmarkEnd w:id="84"/>
    <w:p w14:paraId="1EC47E15">
      <w:pPr>
        <w:ind w:firstLine="480"/>
        <w:rPr>
          <w:highlight w:val="none"/>
        </w:rPr>
      </w:pPr>
      <w:r>
        <w:rPr>
          <w:rFonts w:hint="eastAsia"/>
          <w:highlight w:val="none"/>
        </w:rPr>
        <w:t>6.1.2</w:t>
      </w:r>
      <w:r>
        <w:rPr>
          <w:highlight w:val="none"/>
        </w:rPr>
        <w:t>分拣过程产生的列入《国家危险废物名录》的危险废物，应按照相应的管理要求，收集后集中由专业运输单位交由有资质单位处置。</w:t>
      </w:r>
    </w:p>
    <w:p w14:paraId="00A3D948">
      <w:pPr>
        <w:pStyle w:val="103"/>
        <w:numPr>
          <w:ilvl w:val="2"/>
          <w:numId w:val="0"/>
        </w:numPr>
        <w:ind w:firstLine="426"/>
        <w:rPr>
          <w:highlight w:val="none"/>
        </w:rPr>
      </w:pPr>
      <w:bookmarkStart w:id="85" w:name="_Toc199166305"/>
      <w:r>
        <w:rPr>
          <w:rFonts w:hint="eastAsia"/>
          <w:highlight w:val="none"/>
        </w:rPr>
        <w:t>6.2</w:t>
      </w:r>
      <w:r>
        <w:rPr>
          <w:highlight w:val="none"/>
        </w:rPr>
        <w:t>运行时间及生产线配置</w:t>
      </w:r>
      <w:bookmarkEnd w:id="85"/>
    </w:p>
    <w:p w14:paraId="04EBECC1">
      <w:pPr>
        <w:ind w:firstLine="480"/>
        <w:rPr>
          <w:highlight w:val="none"/>
        </w:rPr>
      </w:pPr>
      <w:r>
        <w:rPr>
          <w:rFonts w:hint="eastAsia"/>
          <w:highlight w:val="none"/>
        </w:rPr>
        <w:t>6.2.1</w:t>
      </w:r>
      <w:r>
        <w:rPr>
          <w:highlight w:val="none"/>
        </w:rPr>
        <w:t>生产线配置：每个可回收物种分别设置1条生产线；</w:t>
      </w:r>
    </w:p>
    <w:p w14:paraId="1B9F0837">
      <w:pPr>
        <w:ind w:firstLine="480"/>
        <w:rPr>
          <w:highlight w:val="none"/>
        </w:rPr>
      </w:pPr>
      <w:r>
        <w:rPr>
          <w:rFonts w:hint="eastAsia"/>
          <w:highlight w:val="none"/>
        </w:rPr>
        <w:t>6.2.2</w:t>
      </w:r>
      <w:r>
        <w:rPr>
          <w:highlight w:val="none"/>
        </w:rPr>
        <w:t>运行班次：采用1班生产，每班8小时，有效工作时间按8小时/天。运行时间300天/年。</w:t>
      </w:r>
    </w:p>
    <w:p w14:paraId="03D0CF46">
      <w:pPr>
        <w:pStyle w:val="103"/>
        <w:numPr>
          <w:ilvl w:val="2"/>
          <w:numId w:val="0"/>
        </w:numPr>
        <w:ind w:firstLine="426"/>
        <w:rPr>
          <w:highlight w:val="none"/>
        </w:rPr>
      </w:pPr>
      <w:bookmarkStart w:id="86" w:name="_Toc199166306"/>
      <w:r>
        <w:rPr>
          <w:rFonts w:hint="eastAsia"/>
          <w:highlight w:val="none"/>
        </w:rPr>
        <w:t>6.3</w:t>
      </w:r>
      <w:r>
        <w:rPr>
          <w:highlight w:val="none"/>
        </w:rPr>
        <w:t>废纸回收工艺</w:t>
      </w:r>
      <w:bookmarkEnd w:id="86"/>
    </w:p>
    <w:p w14:paraId="699D79B0">
      <w:pPr>
        <w:pStyle w:val="99"/>
        <w:rPr>
          <w:highlight w:val="none"/>
        </w:rPr>
      </w:pPr>
      <w:r>
        <w:rPr>
          <w:highlight w:val="none"/>
        </w:rPr>
        <w:drawing>
          <wp:inline distT="0" distB="0" distL="0" distR="0">
            <wp:extent cx="5764530" cy="1118870"/>
            <wp:effectExtent l="0" t="0" r="7620" b="5080"/>
            <wp:docPr id="49" name="图片 60"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0" descr="卡通人物&#10;&#10;中度可信度描述已自动生成"/>
                    <pic:cNvPicPr>
                      <a:picLocks noChangeAspect="1" noChangeArrowheads="1"/>
                    </pic:cNvPicPr>
                  </pic:nvPicPr>
                  <pic:blipFill>
                    <a:blip r:embed="rId9" cstate="print"/>
                    <a:srcRect/>
                    <a:stretch>
                      <a:fillRect/>
                    </a:stretch>
                  </pic:blipFill>
                  <pic:spPr>
                    <a:xfrm>
                      <a:off x="0" y="0"/>
                      <a:ext cx="5765888" cy="1119452"/>
                    </a:xfrm>
                    <a:prstGeom prst="rect">
                      <a:avLst/>
                    </a:prstGeom>
                    <a:noFill/>
                    <a:ln w="9525">
                      <a:noFill/>
                      <a:miter lim="800000"/>
                      <a:headEnd/>
                      <a:tailEnd/>
                    </a:ln>
                  </pic:spPr>
                </pic:pic>
              </a:graphicData>
            </a:graphic>
          </wp:inline>
        </w:drawing>
      </w:r>
    </w:p>
    <w:p w14:paraId="158BA8F1">
      <w:pPr>
        <w:pStyle w:val="105"/>
        <w:numPr>
          <w:ilvl w:val="4"/>
          <w:numId w:val="0"/>
        </w:numPr>
        <w:ind w:firstLine="480"/>
        <w:rPr>
          <w:highlight w:val="none"/>
        </w:rPr>
      </w:pPr>
      <w:r>
        <w:rPr>
          <w:rFonts w:ascii="Times New Roman" w:hAnsi="Times New Roman"/>
          <w:b w:val="0"/>
          <w:bCs w:val="0"/>
          <w:snapToGrid w:val="0"/>
          <w:color w:val="000000"/>
          <w:w w:val="0"/>
          <w:kern w:val="0"/>
          <w:szCs w:val="0"/>
          <w:highlight w:val="none"/>
        </w:rPr>
        <w:t>图2.6-1</w:t>
      </w:r>
      <w:r>
        <w:rPr>
          <w:highlight w:val="none"/>
        </w:rPr>
        <w:t>废纸回收作业流程图</w:t>
      </w:r>
    </w:p>
    <w:p w14:paraId="38FB91C6">
      <w:pPr>
        <w:pStyle w:val="103"/>
        <w:numPr>
          <w:ilvl w:val="2"/>
          <w:numId w:val="0"/>
        </w:numPr>
        <w:ind w:firstLine="426"/>
        <w:rPr>
          <w:highlight w:val="none"/>
        </w:rPr>
      </w:pPr>
      <w:bookmarkStart w:id="87" w:name="_Toc199166308"/>
      <w:bookmarkStart w:id="88" w:name="_Toc199166307"/>
      <w:r>
        <w:rPr>
          <w:rFonts w:hint="eastAsia"/>
          <w:highlight w:val="none"/>
        </w:rPr>
        <w:t>6.4</w:t>
      </w:r>
      <w:r>
        <w:rPr>
          <w:highlight w:val="none"/>
        </w:rPr>
        <w:t>塑料回收工艺</w:t>
      </w:r>
      <w:bookmarkEnd w:id="87"/>
    </w:p>
    <w:p w14:paraId="5D6C316F">
      <w:pPr>
        <w:pStyle w:val="99"/>
        <w:rPr>
          <w:highlight w:val="none"/>
        </w:rPr>
      </w:pPr>
      <w:r>
        <w:rPr>
          <w:highlight w:val="none"/>
        </w:rPr>
        <w:drawing>
          <wp:inline distT="0" distB="0" distL="0" distR="0">
            <wp:extent cx="5371465" cy="1059180"/>
            <wp:effectExtent l="0" t="0" r="635" b="7620"/>
            <wp:docPr id="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3"/>
                    <pic:cNvPicPr>
                      <a:picLocks noChangeAspect="1" noChangeArrowheads="1"/>
                    </pic:cNvPicPr>
                  </pic:nvPicPr>
                  <pic:blipFill>
                    <a:blip r:embed="rId10" cstate="print"/>
                    <a:srcRect/>
                    <a:stretch>
                      <a:fillRect/>
                    </a:stretch>
                  </pic:blipFill>
                  <pic:spPr>
                    <a:xfrm>
                      <a:off x="0" y="0"/>
                      <a:ext cx="5372829" cy="1059557"/>
                    </a:xfrm>
                    <a:prstGeom prst="rect">
                      <a:avLst/>
                    </a:prstGeom>
                    <a:noFill/>
                    <a:ln w="9525">
                      <a:noFill/>
                      <a:miter lim="800000"/>
                      <a:headEnd/>
                      <a:tailEnd/>
                    </a:ln>
                  </pic:spPr>
                </pic:pic>
              </a:graphicData>
            </a:graphic>
          </wp:inline>
        </w:drawing>
      </w:r>
    </w:p>
    <w:p w14:paraId="16D87587">
      <w:pPr>
        <w:pStyle w:val="105"/>
        <w:numPr>
          <w:ilvl w:val="4"/>
          <w:numId w:val="0"/>
        </w:numPr>
        <w:ind w:firstLine="480"/>
        <w:rPr>
          <w:highlight w:val="none"/>
        </w:rPr>
      </w:pPr>
      <w:bookmarkStart w:id="89" w:name="OLE_LINK27"/>
      <w:r>
        <w:rPr>
          <w:rFonts w:ascii="Times New Roman" w:hAnsi="Times New Roman"/>
          <w:b w:val="0"/>
          <w:bCs w:val="0"/>
          <w:snapToGrid w:val="0"/>
          <w:color w:val="000000"/>
          <w:w w:val="0"/>
          <w:kern w:val="0"/>
          <w:szCs w:val="0"/>
          <w:highlight w:val="none"/>
        </w:rPr>
        <w:t>图2.6-2</w:t>
      </w:r>
      <w:r>
        <w:rPr>
          <w:highlight w:val="none"/>
        </w:rPr>
        <w:t>废塑料回收作业流程图</w:t>
      </w:r>
    </w:p>
    <w:bookmarkEnd w:id="89"/>
    <w:p w14:paraId="15FF55C2">
      <w:pPr>
        <w:pStyle w:val="103"/>
        <w:numPr>
          <w:ilvl w:val="2"/>
          <w:numId w:val="0"/>
        </w:numPr>
        <w:ind w:firstLine="426"/>
        <w:rPr>
          <w:highlight w:val="none"/>
        </w:rPr>
      </w:pPr>
      <w:r>
        <w:rPr>
          <w:rFonts w:hint="eastAsia"/>
          <w:highlight w:val="none"/>
        </w:rPr>
        <w:t>6.5</w:t>
      </w:r>
      <w:r>
        <w:rPr>
          <w:highlight w:val="none"/>
        </w:rPr>
        <w:t>废</w:t>
      </w:r>
      <w:r>
        <w:rPr>
          <w:rFonts w:hint="eastAsia"/>
          <w:highlight w:val="none"/>
        </w:rPr>
        <w:t>玻璃</w:t>
      </w:r>
      <w:r>
        <w:rPr>
          <w:highlight w:val="none"/>
        </w:rPr>
        <w:t>回收工艺</w:t>
      </w:r>
    </w:p>
    <w:p w14:paraId="6E8E0200">
      <w:pPr>
        <w:pStyle w:val="99"/>
        <w:rPr>
          <w:highlight w:val="none"/>
        </w:rPr>
      </w:pPr>
      <w:r>
        <w:rPr>
          <w:highlight w:val="none"/>
        </w:rPr>
        <w:drawing>
          <wp:inline distT="0" distB="0" distL="0" distR="0">
            <wp:extent cx="5274945" cy="1126490"/>
            <wp:effectExtent l="0" t="0" r="1905" b="6985"/>
            <wp:docPr id="4" name="图片 6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2" descr="图示&#10;&#10;描述已自动生成"/>
                    <pic:cNvPicPr>
                      <a:picLocks noChangeAspect="1" noChangeArrowheads="1"/>
                    </pic:cNvPicPr>
                  </pic:nvPicPr>
                  <pic:blipFill>
                    <a:blip r:embed="rId11" cstate="print"/>
                    <a:srcRect/>
                    <a:stretch>
                      <a:fillRect/>
                    </a:stretch>
                  </pic:blipFill>
                  <pic:spPr>
                    <a:xfrm>
                      <a:off x="0" y="0"/>
                      <a:ext cx="5274945" cy="1126514"/>
                    </a:xfrm>
                    <a:prstGeom prst="rect">
                      <a:avLst/>
                    </a:prstGeom>
                    <a:noFill/>
                    <a:ln w="9525">
                      <a:noFill/>
                      <a:miter lim="800000"/>
                      <a:headEnd/>
                      <a:tailEnd/>
                    </a:ln>
                  </pic:spPr>
                </pic:pic>
              </a:graphicData>
            </a:graphic>
          </wp:inline>
        </w:drawing>
      </w:r>
    </w:p>
    <w:p w14:paraId="52716412">
      <w:pPr>
        <w:pStyle w:val="105"/>
        <w:numPr>
          <w:ilvl w:val="4"/>
          <w:numId w:val="0"/>
        </w:numPr>
        <w:rPr>
          <w:highlight w:val="none"/>
        </w:rPr>
      </w:pPr>
      <w:r>
        <w:rPr>
          <w:rFonts w:ascii="Times New Roman" w:hAnsi="Times New Roman"/>
          <w:b w:val="0"/>
          <w:bCs w:val="0"/>
          <w:snapToGrid w:val="0"/>
          <w:color w:val="000000"/>
          <w:w w:val="0"/>
          <w:kern w:val="0"/>
          <w:szCs w:val="0"/>
          <w:highlight w:val="none"/>
        </w:rPr>
        <w:t>图2.6-3</w:t>
      </w:r>
      <w:r>
        <w:rPr>
          <w:rFonts w:hint="eastAsia"/>
          <w:highlight w:val="none"/>
        </w:rPr>
        <w:t>废玻璃</w:t>
      </w:r>
      <w:r>
        <w:rPr>
          <w:highlight w:val="none"/>
        </w:rPr>
        <w:t>回收作业流程图</w:t>
      </w:r>
    </w:p>
    <w:p w14:paraId="088CE2B6">
      <w:pPr>
        <w:pStyle w:val="103"/>
        <w:numPr>
          <w:ilvl w:val="2"/>
          <w:numId w:val="0"/>
        </w:numPr>
        <w:ind w:firstLine="426"/>
        <w:rPr>
          <w:highlight w:val="none"/>
        </w:rPr>
      </w:pPr>
      <w:r>
        <w:rPr>
          <w:rFonts w:hint="eastAsia"/>
          <w:highlight w:val="none"/>
        </w:rPr>
        <w:t>6.6</w:t>
      </w:r>
      <w:r>
        <w:rPr>
          <w:highlight w:val="none"/>
        </w:rPr>
        <w:t>废泡沫回收工艺</w:t>
      </w:r>
      <w:bookmarkEnd w:id="88"/>
    </w:p>
    <w:p w14:paraId="38C599F4">
      <w:pPr>
        <w:pStyle w:val="99"/>
        <w:rPr>
          <w:highlight w:val="none"/>
        </w:rPr>
      </w:pPr>
      <w:r>
        <w:rPr>
          <w:highlight w:val="none"/>
        </w:rPr>
        <w:drawing>
          <wp:inline distT="0" distB="0" distL="0" distR="0">
            <wp:extent cx="5624830" cy="1084580"/>
            <wp:effectExtent l="0" t="0" r="4445" b="1270"/>
            <wp:docPr id="51" name="图片 6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61" descr="图示&#10;&#10;描述已自动生成"/>
                    <pic:cNvPicPr>
                      <a:picLocks noChangeAspect="1" noChangeArrowheads="1"/>
                    </pic:cNvPicPr>
                  </pic:nvPicPr>
                  <pic:blipFill>
                    <a:blip r:embed="rId12" cstate="print"/>
                    <a:srcRect/>
                    <a:stretch>
                      <a:fillRect/>
                    </a:stretch>
                  </pic:blipFill>
                  <pic:spPr>
                    <a:xfrm>
                      <a:off x="0" y="0"/>
                      <a:ext cx="5624830" cy="1084580"/>
                    </a:xfrm>
                    <a:prstGeom prst="rect">
                      <a:avLst/>
                    </a:prstGeom>
                    <a:noFill/>
                    <a:ln w="9525">
                      <a:noFill/>
                      <a:miter lim="800000"/>
                      <a:headEnd/>
                      <a:tailEnd/>
                    </a:ln>
                  </pic:spPr>
                </pic:pic>
              </a:graphicData>
            </a:graphic>
          </wp:inline>
        </w:drawing>
      </w:r>
    </w:p>
    <w:p w14:paraId="292E5E0D">
      <w:pPr>
        <w:pStyle w:val="105"/>
        <w:numPr>
          <w:ilvl w:val="4"/>
          <w:numId w:val="0"/>
        </w:numPr>
        <w:ind w:firstLine="480"/>
        <w:rPr>
          <w:highlight w:val="none"/>
        </w:rPr>
      </w:pPr>
      <w:r>
        <w:rPr>
          <w:rFonts w:ascii="Times New Roman" w:hAnsi="Times New Roman"/>
          <w:b w:val="0"/>
          <w:bCs w:val="0"/>
          <w:snapToGrid w:val="0"/>
          <w:color w:val="000000"/>
          <w:w w:val="0"/>
          <w:kern w:val="0"/>
          <w:szCs w:val="0"/>
          <w:highlight w:val="none"/>
        </w:rPr>
        <w:t>图2.6-4</w:t>
      </w:r>
      <w:r>
        <w:rPr>
          <w:highlight w:val="none"/>
        </w:rPr>
        <w:t>废泡沫回收作业流程图</w:t>
      </w:r>
    </w:p>
    <w:p w14:paraId="12184495">
      <w:pPr>
        <w:pStyle w:val="103"/>
        <w:numPr>
          <w:ilvl w:val="2"/>
          <w:numId w:val="0"/>
        </w:numPr>
        <w:ind w:firstLine="426"/>
        <w:rPr>
          <w:highlight w:val="none"/>
        </w:rPr>
      </w:pPr>
      <w:r>
        <w:rPr>
          <w:rFonts w:hint="eastAsia"/>
          <w:highlight w:val="none"/>
        </w:rPr>
        <w:t>6.7设备清单</w:t>
      </w:r>
    </w:p>
    <w:p w14:paraId="7C343643">
      <w:pPr>
        <w:pStyle w:val="95"/>
        <w:numPr>
          <w:ilvl w:val="3"/>
          <w:numId w:val="0"/>
        </w:numPr>
        <w:ind w:firstLine="289"/>
        <w:rPr>
          <w:szCs w:val="24"/>
          <w:highlight w:val="none"/>
        </w:rPr>
      </w:pPr>
      <w:r>
        <w:rPr>
          <w:szCs w:val="24"/>
          <w:highlight w:val="none"/>
        </w:rPr>
        <w:t>表2.6-2</w:t>
      </w:r>
      <w:r>
        <w:rPr>
          <w:rFonts w:hint="eastAsia"/>
          <w:highlight w:val="none"/>
        </w:rPr>
        <w:t>设备清单统计表</w:t>
      </w:r>
    </w:p>
    <w:tbl>
      <w:tblPr>
        <w:tblStyle w:val="42"/>
        <w:tblW w:w="48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945"/>
        <w:gridCol w:w="3558"/>
        <w:gridCol w:w="1009"/>
        <w:gridCol w:w="1009"/>
        <w:gridCol w:w="1011"/>
      </w:tblGrid>
      <w:tr w14:paraId="7DAD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28" w:type="pct"/>
            <w:shd w:val="clear" w:color="auto" w:fill="FFFFFF"/>
            <w:vAlign w:val="center"/>
          </w:tcPr>
          <w:p w14:paraId="5A0D22A6">
            <w:pPr>
              <w:pStyle w:val="121"/>
              <w:rPr>
                <w:highlight w:val="none"/>
              </w:rPr>
            </w:pPr>
            <w:r>
              <w:rPr>
                <w:highlight w:val="none"/>
              </w:rPr>
              <w:t>序号</w:t>
            </w:r>
          </w:p>
        </w:tc>
        <w:tc>
          <w:tcPr>
            <w:tcW w:w="1019" w:type="pct"/>
            <w:shd w:val="clear" w:color="auto" w:fill="FFFFFF"/>
            <w:vAlign w:val="center"/>
          </w:tcPr>
          <w:p w14:paraId="59A3DBBD">
            <w:pPr>
              <w:pStyle w:val="121"/>
              <w:rPr>
                <w:highlight w:val="none"/>
              </w:rPr>
            </w:pPr>
            <w:r>
              <w:rPr>
                <w:highlight w:val="none"/>
              </w:rPr>
              <w:t>项目名称</w:t>
            </w:r>
          </w:p>
        </w:tc>
        <w:tc>
          <w:tcPr>
            <w:tcW w:w="1864" w:type="pct"/>
            <w:shd w:val="clear" w:color="auto" w:fill="FFFFFF"/>
            <w:vAlign w:val="center"/>
          </w:tcPr>
          <w:p w14:paraId="2010DF7B">
            <w:pPr>
              <w:pStyle w:val="121"/>
              <w:rPr>
                <w:highlight w:val="none"/>
              </w:rPr>
            </w:pPr>
            <w:r>
              <w:rPr>
                <w:highlight w:val="none"/>
              </w:rPr>
              <w:t>设备规格</w:t>
            </w:r>
          </w:p>
        </w:tc>
        <w:tc>
          <w:tcPr>
            <w:tcW w:w="529" w:type="pct"/>
            <w:shd w:val="clear" w:color="auto" w:fill="FFFFFF"/>
            <w:vAlign w:val="center"/>
          </w:tcPr>
          <w:p w14:paraId="4491DC80">
            <w:pPr>
              <w:pStyle w:val="121"/>
              <w:rPr>
                <w:highlight w:val="none"/>
              </w:rPr>
            </w:pPr>
            <w:r>
              <w:rPr>
                <w:highlight w:val="none"/>
              </w:rPr>
              <w:t>数量</w:t>
            </w:r>
          </w:p>
        </w:tc>
        <w:tc>
          <w:tcPr>
            <w:tcW w:w="529" w:type="pct"/>
            <w:shd w:val="clear" w:color="auto" w:fill="FFFFFF"/>
            <w:vAlign w:val="center"/>
          </w:tcPr>
          <w:p w14:paraId="768F31F4">
            <w:pPr>
              <w:pStyle w:val="121"/>
              <w:rPr>
                <w:highlight w:val="none"/>
              </w:rPr>
            </w:pPr>
            <w:r>
              <w:rPr>
                <w:highlight w:val="none"/>
              </w:rPr>
              <w:t>单位</w:t>
            </w:r>
          </w:p>
        </w:tc>
        <w:tc>
          <w:tcPr>
            <w:tcW w:w="530" w:type="pct"/>
            <w:shd w:val="clear" w:color="auto" w:fill="FFFFFF"/>
            <w:vAlign w:val="center"/>
          </w:tcPr>
          <w:p w14:paraId="6F42377B">
            <w:pPr>
              <w:pStyle w:val="121"/>
              <w:rPr>
                <w:highlight w:val="none"/>
              </w:rPr>
            </w:pPr>
            <w:r>
              <w:rPr>
                <w:highlight w:val="none"/>
              </w:rPr>
              <w:t>备注</w:t>
            </w:r>
          </w:p>
        </w:tc>
      </w:tr>
      <w:tr w14:paraId="7E50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28" w:type="pct"/>
            <w:shd w:val="clear" w:color="auto" w:fill="FFFFFF"/>
            <w:vAlign w:val="center"/>
          </w:tcPr>
          <w:p w14:paraId="5657FF65">
            <w:pPr>
              <w:pStyle w:val="121"/>
              <w:rPr>
                <w:highlight w:val="none"/>
              </w:rPr>
            </w:pPr>
            <w:r>
              <w:rPr>
                <w:highlight w:val="none"/>
              </w:rPr>
              <w:t>1</w:t>
            </w:r>
          </w:p>
        </w:tc>
        <w:tc>
          <w:tcPr>
            <w:tcW w:w="1019" w:type="pct"/>
            <w:shd w:val="clear" w:color="auto" w:fill="FFFFFF"/>
          </w:tcPr>
          <w:p w14:paraId="17CFFE4F">
            <w:pPr>
              <w:pStyle w:val="121"/>
              <w:rPr>
                <w:highlight w:val="none"/>
              </w:rPr>
            </w:pPr>
            <w:r>
              <w:rPr>
                <w:highlight w:val="none"/>
              </w:rPr>
              <w:t>卧式打包机</w:t>
            </w:r>
          </w:p>
        </w:tc>
        <w:tc>
          <w:tcPr>
            <w:tcW w:w="1864" w:type="pct"/>
            <w:shd w:val="clear" w:color="auto" w:fill="FFFFFF"/>
          </w:tcPr>
          <w:p w14:paraId="370E2709">
            <w:pPr>
              <w:pStyle w:val="121"/>
              <w:rPr>
                <w:highlight w:val="none"/>
              </w:rPr>
            </w:pPr>
            <w:r>
              <w:rPr>
                <w:highlight w:val="none"/>
              </w:rPr>
              <w:t>压缩力：</w:t>
            </w:r>
            <w:r>
              <w:rPr>
                <w:rFonts w:hint="eastAsia"/>
                <w:highlight w:val="none"/>
              </w:rPr>
              <w:t>2</w:t>
            </w:r>
            <w:r>
              <w:rPr>
                <w:highlight w:val="none"/>
              </w:rPr>
              <w:t>00T</w:t>
            </w:r>
          </w:p>
        </w:tc>
        <w:tc>
          <w:tcPr>
            <w:tcW w:w="529" w:type="pct"/>
            <w:shd w:val="clear" w:color="auto" w:fill="FFFFFF"/>
            <w:vAlign w:val="center"/>
          </w:tcPr>
          <w:p w14:paraId="3AA14500">
            <w:pPr>
              <w:pStyle w:val="121"/>
              <w:rPr>
                <w:highlight w:val="none"/>
              </w:rPr>
            </w:pPr>
            <w:r>
              <w:rPr>
                <w:highlight w:val="none"/>
              </w:rPr>
              <w:t>1</w:t>
            </w:r>
          </w:p>
        </w:tc>
        <w:tc>
          <w:tcPr>
            <w:tcW w:w="529" w:type="pct"/>
            <w:shd w:val="clear" w:color="auto" w:fill="FFFFFF"/>
            <w:vAlign w:val="center"/>
          </w:tcPr>
          <w:p w14:paraId="2EE8C8B9">
            <w:pPr>
              <w:pStyle w:val="121"/>
              <w:rPr>
                <w:highlight w:val="none"/>
              </w:rPr>
            </w:pPr>
            <w:r>
              <w:rPr>
                <w:highlight w:val="none"/>
              </w:rPr>
              <w:t>套</w:t>
            </w:r>
          </w:p>
        </w:tc>
        <w:tc>
          <w:tcPr>
            <w:tcW w:w="530" w:type="pct"/>
            <w:shd w:val="clear" w:color="auto" w:fill="FFFFFF"/>
            <w:vAlign w:val="center"/>
          </w:tcPr>
          <w:p w14:paraId="1CDCD31A">
            <w:pPr>
              <w:pStyle w:val="121"/>
              <w:rPr>
                <w:highlight w:val="none"/>
              </w:rPr>
            </w:pPr>
          </w:p>
        </w:tc>
      </w:tr>
      <w:tr w14:paraId="7F39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28" w:type="pct"/>
            <w:shd w:val="clear" w:color="auto" w:fill="FFFFFF"/>
            <w:vAlign w:val="center"/>
          </w:tcPr>
          <w:p w14:paraId="784DC366">
            <w:pPr>
              <w:pStyle w:val="121"/>
              <w:rPr>
                <w:highlight w:val="none"/>
              </w:rPr>
            </w:pPr>
            <w:r>
              <w:rPr>
                <w:highlight w:val="none"/>
              </w:rPr>
              <w:t>2</w:t>
            </w:r>
          </w:p>
        </w:tc>
        <w:tc>
          <w:tcPr>
            <w:tcW w:w="1019" w:type="pct"/>
            <w:shd w:val="clear" w:color="auto" w:fill="FFFFFF"/>
          </w:tcPr>
          <w:p w14:paraId="5EE9C1AC">
            <w:pPr>
              <w:pStyle w:val="121"/>
              <w:rPr>
                <w:highlight w:val="none"/>
              </w:rPr>
            </w:pPr>
            <w:r>
              <w:rPr>
                <w:highlight w:val="none"/>
              </w:rPr>
              <w:t>链板输送机</w:t>
            </w:r>
          </w:p>
        </w:tc>
        <w:tc>
          <w:tcPr>
            <w:tcW w:w="1864" w:type="pct"/>
            <w:shd w:val="clear" w:color="auto" w:fill="FFFFFF"/>
          </w:tcPr>
          <w:p w14:paraId="3542DF48">
            <w:pPr>
              <w:pStyle w:val="121"/>
              <w:rPr>
                <w:highlight w:val="none"/>
              </w:rPr>
            </w:pPr>
            <w:r>
              <w:rPr>
                <w:highlight w:val="none"/>
              </w:rPr>
              <w:t>板链输送机宽度：1790mm</w:t>
            </w:r>
          </w:p>
        </w:tc>
        <w:tc>
          <w:tcPr>
            <w:tcW w:w="529" w:type="pct"/>
            <w:shd w:val="clear" w:color="auto" w:fill="FFFFFF"/>
            <w:vAlign w:val="center"/>
          </w:tcPr>
          <w:p w14:paraId="1C31C725">
            <w:pPr>
              <w:pStyle w:val="121"/>
              <w:rPr>
                <w:highlight w:val="none"/>
              </w:rPr>
            </w:pPr>
            <w:r>
              <w:rPr>
                <w:highlight w:val="none"/>
              </w:rPr>
              <w:t>1</w:t>
            </w:r>
          </w:p>
        </w:tc>
        <w:tc>
          <w:tcPr>
            <w:tcW w:w="529" w:type="pct"/>
            <w:shd w:val="clear" w:color="auto" w:fill="FFFFFF"/>
            <w:vAlign w:val="center"/>
          </w:tcPr>
          <w:p w14:paraId="770EA852">
            <w:pPr>
              <w:pStyle w:val="121"/>
              <w:rPr>
                <w:highlight w:val="none"/>
              </w:rPr>
            </w:pPr>
            <w:r>
              <w:rPr>
                <w:highlight w:val="none"/>
              </w:rPr>
              <w:t>套</w:t>
            </w:r>
          </w:p>
        </w:tc>
        <w:tc>
          <w:tcPr>
            <w:tcW w:w="530" w:type="pct"/>
            <w:shd w:val="clear" w:color="auto" w:fill="FFFFFF"/>
            <w:vAlign w:val="center"/>
          </w:tcPr>
          <w:p w14:paraId="5952840B">
            <w:pPr>
              <w:pStyle w:val="121"/>
              <w:rPr>
                <w:highlight w:val="none"/>
              </w:rPr>
            </w:pPr>
          </w:p>
        </w:tc>
      </w:tr>
      <w:tr w14:paraId="689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528" w:type="pct"/>
            <w:shd w:val="clear" w:color="auto" w:fill="FFFFFF"/>
            <w:vAlign w:val="center"/>
          </w:tcPr>
          <w:p w14:paraId="3C1D82DB">
            <w:pPr>
              <w:pStyle w:val="121"/>
              <w:rPr>
                <w:highlight w:val="none"/>
              </w:rPr>
            </w:pPr>
            <w:r>
              <w:rPr>
                <w:highlight w:val="none"/>
              </w:rPr>
              <w:t>3</w:t>
            </w:r>
          </w:p>
        </w:tc>
        <w:tc>
          <w:tcPr>
            <w:tcW w:w="1019" w:type="pct"/>
            <w:shd w:val="clear" w:color="auto" w:fill="FFFFFF"/>
          </w:tcPr>
          <w:p w14:paraId="7D8C796A">
            <w:pPr>
              <w:pStyle w:val="121"/>
              <w:rPr>
                <w:highlight w:val="none"/>
              </w:rPr>
            </w:pPr>
            <w:r>
              <w:rPr>
                <w:highlight w:val="none"/>
              </w:rPr>
              <w:t>泡沫冷压机</w:t>
            </w:r>
          </w:p>
        </w:tc>
        <w:tc>
          <w:tcPr>
            <w:tcW w:w="1864" w:type="pct"/>
            <w:shd w:val="clear" w:color="auto" w:fill="FFFFFF"/>
          </w:tcPr>
          <w:p w14:paraId="4E3FA297">
            <w:pPr>
              <w:pStyle w:val="121"/>
              <w:rPr>
                <w:highlight w:val="none"/>
              </w:rPr>
            </w:pPr>
            <w:r>
              <w:rPr>
                <w:highlight w:val="none"/>
              </w:rPr>
              <w:t>成型包块尺寸：391mm（宽）*420mm（高）*长（人工折断）</w:t>
            </w:r>
          </w:p>
        </w:tc>
        <w:tc>
          <w:tcPr>
            <w:tcW w:w="529" w:type="pct"/>
            <w:shd w:val="clear" w:color="auto" w:fill="FFFFFF"/>
            <w:vAlign w:val="center"/>
          </w:tcPr>
          <w:p w14:paraId="35187084">
            <w:pPr>
              <w:pStyle w:val="121"/>
              <w:rPr>
                <w:highlight w:val="none"/>
              </w:rPr>
            </w:pPr>
            <w:r>
              <w:rPr>
                <w:highlight w:val="none"/>
              </w:rPr>
              <w:t>1</w:t>
            </w:r>
          </w:p>
        </w:tc>
        <w:tc>
          <w:tcPr>
            <w:tcW w:w="529" w:type="pct"/>
            <w:shd w:val="clear" w:color="auto" w:fill="FFFFFF"/>
            <w:vAlign w:val="center"/>
          </w:tcPr>
          <w:p w14:paraId="705FE093">
            <w:pPr>
              <w:pStyle w:val="121"/>
              <w:rPr>
                <w:highlight w:val="none"/>
              </w:rPr>
            </w:pPr>
            <w:r>
              <w:rPr>
                <w:highlight w:val="none"/>
              </w:rPr>
              <w:t>套</w:t>
            </w:r>
          </w:p>
        </w:tc>
        <w:tc>
          <w:tcPr>
            <w:tcW w:w="530" w:type="pct"/>
            <w:shd w:val="clear" w:color="auto" w:fill="FFFFFF"/>
            <w:vAlign w:val="center"/>
          </w:tcPr>
          <w:p w14:paraId="29C8423E">
            <w:pPr>
              <w:pStyle w:val="121"/>
              <w:rPr>
                <w:highlight w:val="none"/>
              </w:rPr>
            </w:pPr>
          </w:p>
        </w:tc>
      </w:tr>
      <w:tr w14:paraId="340E7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528" w:type="pct"/>
            <w:shd w:val="clear" w:color="auto" w:fill="FFFFFF"/>
            <w:vAlign w:val="center"/>
          </w:tcPr>
          <w:p w14:paraId="2FFB308B">
            <w:pPr>
              <w:pStyle w:val="121"/>
              <w:rPr>
                <w:highlight w:val="none"/>
              </w:rPr>
            </w:pPr>
            <w:r>
              <w:rPr>
                <w:highlight w:val="none"/>
              </w:rPr>
              <w:t>4</w:t>
            </w:r>
          </w:p>
        </w:tc>
        <w:tc>
          <w:tcPr>
            <w:tcW w:w="1019" w:type="pct"/>
            <w:shd w:val="clear" w:color="auto" w:fill="FFFFFF"/>
          </w:tcPr>
          <w:p w14:paraId="0D3A0F70">
            <w:pPr>
              <w:pStyle w:val="121"/>
              <w:rPr>
                <w:highlight w:val="none"/>
              </w:rPr>
            </w:pPr>
            <w:r>
              <w:rPr>
                <w:highlight w:val="none"/>
              </w:rPr>
              <w:t>喷淋降尘设施</w:t>
            </w:r>
          </w:p>
        </w:tc>
        <w:tc>
          <w:tcPr>
            <w:tcW w:w="1864" w:type="pct"/>
            <w:shd w:val="clear" w:color="auto" w:fill="FFFFFF"/>
          </w:tcPr>
          <w:p w14:paraId="74640323">
            <w:pPr>
              <w:pStyle w:val="121"/>
              <w:rPr>
                <w:highlight w:val="none"/>
              </w:rPr>
            </w:pPr>
            <w:bookmarkStart w:id="90" w:name="OLE_LINK64"/>
            <w:r>
              <w:rPr>
                <w:highlight w:val="none"/>
              </w:rPr>
              <w:t>喷头数：≥80</w:t>
            </w:r>
            <w:r>
              <w:rPr>
                <w:rFonts w:hint="eastAsia"/>
                <w:highlight w:val="none"/>
              </w:rPr>
              <w:t xml:space="preserve"> 覆盖范围≥700m2</w:t>
            </w:r>
            <w:bookmarkEnd w:id="90"/>
          </w:p>
        </w:tc>
        <w:tc>
          <w:tcPr>
            <w:tcW w:w="529" w:type="pct"/>
            <w:shd w:val="clear" w:color="auto" w:fill="FFFFFF"/>
            <w:vAlign w:val="center"/>
          </w:tcPr>
          <w:p w14:paraId="28672EC4">
            <w:pPr>
              <w:pStyle w:val="121"/>
              <w:rPr>
                <w:highlight w:val="none"/>
              </w:rPr>
            </w:pPr>
            <w:r>
              <w:rPr>
                <w:highlight w:val="none"/>
              </w:rPr>
              <w:t>1</w:t>
            </w:r>
          </w:p>
        </w:tc>
        <w:tc>
          <w:tcPr>
            <w:tcW w:w="529" w:type="pct"/>
            <w:shd w:val="clear" w:color="auto" w:fill="FFFFFF"/>
            <w:vAlign w:val="center"/>
          </w:tcPr>
          <w:p w14:paraId="2AFAABB0">
            <w:pPr>
              <w:pStyle w:val="121"/>
              <w:rPr>
                <w:highlight w:val="none"/>
              </w:rPr>
            </w:pPr>
            <w:r>
              <w:rPr>
                <w:highlight w:val="none"/>
              </w:rPr>
              <w:t>套</w:t>
            </w:r>
          </w:p>
        </w:tc>
        <w:tc>
          <w:tcPr>
            <w:tcW w:w="530" w:type="pct"/>
            <w:shd w:val="clear" w:color="auto" w:fill="FFFFFF"/>
            <w:vAlign w:val="center"/>
          </w:tcPr>
          <w:p w14:paraId="01AC4126">
            <w:pPr>
              <w:pStyle w:val="121"/>
              <w:rPr>
                <w:highlight w:val="none"/>
              </w:rPr>
            </w:pPr>
          </w:p>
        </w:tc>
      </w:tr>
      <w:tr w14:paraId="3ABB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528" w:type="pct"/>
            <w:shd w:val="clear" w:color="auto" w:fill="FFFFFF"/>
            <w:vAlign w:val="center"/>
          </w:tcPr>
          <w:p w14:paraId="7FD433AD">
            <w:pPr>
              <w:pStyle w:val="121"/>
              <w:rPr>
                <w:highlight w:val="none"/>
              </w:rPr>
            </w:pPr>
            <w:r>
              <w:rPr>
                <w:highlight w:val="none"/>
              </w:rPr>
              <w:t>5</w:t>
            </w:r>
          </w:p>
        </w:tc>
        <w:tc>
          <w:tcPr>
            <w:tcW w:w="1019" w:type="pct"/>
            <w:shd w:val="clear" w:color="auto" w:fill="FFFFFF"/>
            <w:vAlign w:val="center"/>
          </w:tcPr>
          <w:p w14:paraId="6BC72C9C">
            <w:pPr>
              <w:pStyle w:val="121"/>
              <w:rPr>
                <w:highlight w:val="none"/>
              </w:rPr>
            </w:pPr>
            <w:r>
              <w:rPr>
                <w:highlight w:val="none"/>
              </w:rPr>
              <w:t>中地磅</w:t>
            </w:r>
          </w:p>
        </w:tc>
        <w:tc>
          <w:tcPr>
            <w:tcW w:w="1864" w:type="pct"/>
            <w:shd w:val="clear" w:color="auto" w:fill="FFFFFF"/>
            <w:vAlign w:val="center"/>
          </w:tcPr>
          <w:p w14:paraId="33BE3243">
            <w:pPr>
              <w:pStyle w:val="121"/>
              <w:rPr>
                <w:highlight w:val="none"/>
              </w:rPr>
            </w:pPr>
            <w:r>
              <w:rPr>
                <w:highlight w:val="none"/>
              </w:rPr>
              <w:t>最大称量:20T；2.5m*5m</w:t>
            </w:r>
          </w:p>
        </w:tc>
        <w:tc>
          <w:tcPr>
            <w:tcW w:w="529" w:type="pct"/>
            <w:shd w:val="clear" w:color="auto" w:fill="FFFFFF"/>
            <w:vAlign w:val="center"/>
          </w:tcPr>
          <w:p w14:paraId="01B8F8FE">
            <w:pPr>
              <w:pStyle w:val="121"/>
              <w:rPr>
                <w:highlight w:val="none"/>
              </w:rPr>
            </w:pPr>
            <w:r>
              <w:rPr>
                <w:highlight w:val="none"/>
              </w:rPr>
              <w:t>1</w:t>
            </w:r>
          </w:p>
        </w:tc>
        <w:tc>
          <w:tcPr>
            <w:tcW w:w="529" w:type="pct"/>
            <w:shd w:val="clear" w:color="auto" w:fill="FFFFFF"/>
            <w:vAlign w:val="center"/>
          </w:tcPr>
          <w:p w14:paraId="1B5355B7">
            <w:pPr>
              <w:pStyle w:val="121"/>
              <w:rPr>
                <w:highlight w:val="none"/>
              </w:rPr>
            </w:pPr>
            <w:r>
              <w:rPr>
                <w:highlight w:val="none"/>
              </w:rPr>
              <w:t>套</w:t>
            </w:r>
          </w:p>
        </w:tc>
        <w:tc>
          <w:tcPr>
            <w:tcW w:w="530" w:type="pct"/>
            <w:shd w:val="clear" w:color="auto" w:fill="FFFFFF"/>
            <w:vAlign w:val="center"/>
          </w:tcPr>
          <w:p w14:paraId="4FFD828E">
            <w:pPr>
              <w:pStyle w:val="121"/>
              <w:rPr>
                <w:highlight w:val="none"/>
              </w:rPr>
            </w:pPr>
          </w:p>
        </w:tc>
      </w:tr>
      <w:tr w14:paraId="11DE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528" w:type="pct"/>
            <w:shd w:val="clear" w:color="auto" w:fill="FFFFFF"/>
            <w:vAlign w:val="center"/>
          </w:tcPr>
          <w:p w14:paraId="2D59D2D7">
            <w:pPr>
              <w:pStyle w:val="121"/>
              <w:rPr>
                <w:highlight w:val="none"/>
              </w:rPr>
            </w:pPr>
            <w:r>
              <w:rPr>
                <w:highlight w:val="none"/>
              </w:rPr>
              <w:t>6</w:t>
            </w:r>
          </w:p>
        </w:tc>
        <w:tc>
          <w:tcPr>
            <w:tcW w:w="1019" w:type="pct"/>
            <w:shd w:val="clear" w:color="auto" w:fill="FFFFFF"/>
            <w:vAlign w:val="center"/>
          </w:tcPr>
          <w:p w14:paraId="24358403">
            <w:pPr>
              <w:pStyle w:val="121"/>
              <w:rPr>
                <w:highlight w:val="none"/>
              </w:rPr>
            </w:pPr>
            <w:r>
              <w:rPr>
                <w:highlight w:val="none"/>
              </w:rPr>
              <w:t>磅房</w:t>
            </w:r>
          </w:p>
        </w:tc>
        <w:tc>
          <w:tcPr>
            <w:tcW w:w="1864" w:type="pct"/>
            <w:shd w:val="clear" w:color="auto" w:fill="FFFFFF"/>
            <w:vAlign w:val="center"/>
          </w:tcPr>
          <w:p w14:paraId="5F42E358">
            <w:pPr>
              <w:pStyle w:val="121"/>
              <w:rPr>
                <w:highlight w:val="none"/>
              </w:rPr>
            </w:pPr>
            <w:r>
              <w:rPr>
                <w:highlight w:val="none"/>
              </w:rPr>
              <w:t>长、宽：3m*3m  主体材质：彩钢板</w:t>
            </w:r>
          </w:p>
        </w:tc>
        <w:tc>
          <w:tcPr>
            <w:tcW w:w="529" w:type="pct"/>
            <w:shd w:val="clear" w:color="auto" w:fill="FFFFFF"/>
            <w:vAlign w:val="center"/>
          </w:tcPr>
          <w:p w14:paraId="73E12A13">
            <w:pPr>
              <w:pStyle w:val="121"/>
              <w:rPr>
                <w:highlight w:val="none"/>
              </w:rPr>
            </w:pPr>
            <w:r>
              <w:rPr>
                <w:highlight w:val="none"/>
              </w:rPr>
              <w:t>1</w:t>
            </w:r>
          </w:p>
        </w:tc>
        <w:tc>
          <w:tcPr>
            <w:tcW w:w="529" w:type="pct"/>
            <w:shd w:val="clear" w:color="auto" w:fill="FFFFFF"/>
            <w:vAlign w:val="center"/>
          </w:tcPr>
          <w:p w14:paraId="7CE37375">
            <w:pPr>
              <w:pStyle w:val="121"/>
              <w:rPr>
                <w:highlight w:val="none"/>
              </w:rPr>
            </w:pPr>
            <w:r>
              <w:rPr>
                <w:highlight w:val="none"/>
              </w:rPr>
              <w:t>套</w:t>
            </w:r>
          </w:p>
        </w:tc>
        <w:tc>
          <w:tcPr>
            <w:tcW w:w="530" w:type="pct"/>
            <w:shd w:val="clear" w:color="auto" w:fill="FFFFFF"/>
            <w:vAlign w:val="center"/>
          </w:tcPr>
          <w:p w14:paraId="04C30397">
            <w:pPr>
              <w:pStyle w:val="121"/>
              <w:rPr>
                <w:highlight w:val="none"/>
              </w:rPr>
            </w:pPr>
          </w:p>
        </w:tc>
      </w:tr>
      <w:tr w14:paraId="4F25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28" w:type="pct"/>
            <w:shd w:val="clear" w:color="auto" w:fill="FFFFFF"/>
            <w:vAlign w:val="center"/>
          </w:tcPr>
          <w:p w14:paraId="4BFAE85D">
            <w:pPr>
              <w:pStyle w:val="121"/>
              <w:rPr>
                <w:highlight w:val="none"/>
              </w:rPr>
            </w:pPr>
            <w:r>
              <w:rPr>
                <w:highlight w:val="none"/>
              </w:rPr>
              <w:t>7</w:t>
            </w:r>
          </w:p>
        </w:tc>
        <w:tc>
          <w:tcPr>
            <w:tcW w:w="1019" w:type="pct"/>
            <w:shd w:val="clear" w:color="auto" w:fill="FFFFFF"/>
            <w:vAlign w:val="center"/>
          </w:tcPr>
          <w:p w14:paraId="2F2795ED">
            <w:pPr>
              <w:pStyle w:val="121"/>
              <w:rPr>
                <w:highlight w:val="none"/>
              </w:rPr>
            </w:pPr>
            <w:r>
              <w:rPr>
                <w:highlight w:val="none"/>
              </w:rPr>
              <w:t>智能称重一体机</w:t>
            </w:r>
          </w:p>
        </w:tc>
        <w:tc>
          <w:tcPr>
            <w:tcW w:w="1864" w:type="pct"/>
            <w:shd w:val="clear" w:color="auto" w:fill="FFFFFF"/>
            <w:vAlign w:val="center"/>
          </w:tcPr>
          <w:p w14:paraId="1C19AD44">
            <w:pPr>
              <w:pStyle w:val="121"/>
              <w:rPr>
                <w:highlight w:val="none"/>
              </w:rPr>
            </w:pPr>
            <w:r>
              <w:rPr>
                <w:highlight w:val="none"/>
              </w:rPr>
              <w:t xml:space="preserve">尺寸大小：宽*高*厚：910*1455*905mm </w:t>
            </w:r>
            <w:r>
              <w:rPr>
                <w:highlight w:val="none"/>
              </w:rPr>
              <w:br w:type="textWrapping"/>
            </w:r>
            <w:r>
              <w:rPr>
                <w:highlight w:val="none"/>
              </w:rPr>
              <w:t>内存/存储：2GB/16GB</w:t>
            </w:r>
            <w:r>
              <w:rPr>
                <w:highlight w:val="none"/>
              </w:rPr>
              <w:br w:type="textWrapping"/>
            </w:r>
            <w:r>
              <w:rPr>
                <w:highlight w:val="none"/>
              </w:rPr>
              <w:t xml:space="preserve">安装方式：立式带滚轮，底座带脚杯 </w:t>
            </w:r>
          </w:p>
        </w:tc>
        <w:tc>
          <w:tcPr>
            <w:tcW w:w="529" w:type="pct"/>
            <w:shd w:val="clear" w:color="auto" w:fill="FFFFFF"/>
            <w:vAlign w:val="center"/>
          </w:tcPr>
          <w:p w14:paraId="190D261A">
            <w:pPr>
              <w:pStyle w:val="121"/>
              <w:rPr>
                <w:highlight w:val="none"/>
              </w:rPr>
            </w:pPr>
            <w:r>
              <w:rPr>
                <w:highlight w:val="none"/>
              </w:rPr>
              <w:t>1</w:t>
            </w:r>
          </w:p>
        </w:tc>
        <w:tc>
          <w:tcPr>
            <w:tcW w:w="529" w:type="pct"/>
            <w:shd w:val="clear" w:color="auto" w:fill="FFFFFF"/>
            <w:vAlign w:val="center"/>
          </w:tcPr>
          <w:p w14:paraId="54FDA43D">
            <w:pPr>
              <w:pStyle w:val="121"/>
              <w:rPr>
                <w:highlight w:val="none"/>
              </w:rPr>
            </w:pPr>
            <w:r>
              <w:rPr>
                <w:highlight w:val="none"/>
              </w:rPr>
              <w:t>套</w:t>
            </w:r>
          </w:p>
        </w:tc>
        <w:tc>
          <w:tcPr>
            <w:tcW w:w="530" w:type="pct"/>
            <w:shd w:val="clear" w:color="auto" w:fill="FFFFFF"/>
            <w:vAlign w:val="center"/>
          </w:tcPr>
          <w:p w14:paraId="58D4DFAD">
            <w:pPr>
              <w:pStyle w:val="121"/>
              <w:rPr>
                <w:highlight w:val="none"/>
              </w:rPr>
            </w:pPr>
          </w:p>
        </w:tc>
      </w:tr>
      <w:tr w14:paraId="5712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28" w:type="pct"/>
            <w:shd w:val="clear" w:color="auto" w:fill="FFFFFF"/>
            <w:vAlign w:val="center"/>
          </w:tcPr>
          <w:p w14:paraId="5BC49364">
            <w:pPr>
              <w:pStyle w:val="121"/>
              <w:rPr>
                <w:highlight w:val="none"/>
              </w:rPr>
            </w:pPr>
            <w:r>
              <w:rPr>
                <w:rFonts w:hint="eastAsia"/>
                <w:highlight w:val="none"/>
              </w:rPr>
              <w:t>8</w:t>
            </w:r>
          </w:p>
        </w:tc>
        <w:tc>
          <w:tcPr>
            <w:tcW w:w="1019" w:type="pct"/>
            <w:shd w:val="clear" w:color="auto" w:fill="FFFFFF"/>
          </w:tcPr>
          <w:p w14:paraId="06134EF5">
            <w:pPr>
              <w:pStyle w:val="121"/>
              <w:rPr>
                <w:highlight w:val="none"/>
              </w:rPr>
            </w:pPr>
            <w:r>
              <w:rPr>
                <w:highlight w:val="none"/>
              </w:rPr>
              <w:t>夹抱式叉车</w:t>
            </w:r>
          </w:p>
        </w:tc>
        <w:tc>
          <w:tcPr>
            <w:tcW w:w="1864" w:type="pct"/>
            <w:shd w:val="clear" w:color="auto" w:fill="FFFFFF"/>
          </w:tcPr>
          <w:p w14:paraId="5F537C28">
            <w:pPr>
              <w:pStyle w:val="121"/>
              <w:rPr>
                <w:highlight w:val="none"/>
              </w:rPr>
            </w:pPr>
            <w:r>
              <w:rPr>
                <w:highlight w:val="none"/>
              </w:rPr>
              <w:t>3t</w:t>
            </w:r>
          </w:p>
        </w:tc>
        <w:tc>
          <w:tcPr>
            <w:tcW w:w="529" w:type="pct"/>
            <w:shd w:val="clear" w:color="auto" w:fill="FFFFFF"/>
            <w:vAlign w:val="center"/>
          </w:tcPr>
          <w:p w14:paraId="4466759B">
            <w:pPr>
              <w:pStyle w:val="121"/>
              <w:rPr>
                <w:highlight w:val="none"/>
              </w:rPr>
            </w:pPr>
            <w:r>
              <w:rPr>
                <w:highlight w:val="none"/>
              </w:rPr>
              <w:t>1</w:t>
            </w:r>
          </w:p>
        </w:tc>
        <w:tc>
          <w:tcPr>
            <w:tcW w:w="529" w:type="pct"/>
            <w:shd w:val="clear" w:color="auto" w:fill="FFFFFF"/>
            <w:vAlign w:val="center"/>
          </w:tcPr>
          <w:p w14:paraId="574C3BCB">
            <w:pPr>
              <w:pStyle w:val="121"/>
              <w:rPr>
                <w:highlight w:val="none"/>
              </w:rPr>
            </w:pPr>
            <w:r>
              <w:rPr>
                <w:highlight w:val="none"/>
              </w:rPr>
              <w:t>辆</w:t>
            </w:r>
          </w:p>
        </w:tc>
        <w:tc>
          <w:tcPr>
            <w:tcW w:w="530" w:type="pct"/>
            <w:shd w:val="clear" w:color="auto" w:fill="FFFFFF"/>
            <w:vAlign w:val="center"/>
          </w:tcPr>
          <w:p w14:paraId="0AEFEA37">
            <w:pPr>
              <w:pStyle w:val="121"/>
              <w:rPr>
                <w:highlight w:val="none"/>
              </w:rPr>
            </w:pPr>
          </w:p>
        </w:tc>
      </w:tr>
      <w:tr w14:paraId="231EA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28" w:type="pct"/>
            <w:shd w:val="clear" w:color="auto" w:fill="FFFFFF"/>
            <w:vAlign w:val="center"/>
          </w:tcPr>
          <w:p w14:paraId="425E8424">
            <w:pPr>
              <w:pStyle w:val="121"/>
              <w:rPr>
                <w:highlight w:val="none"/>
              </w:rPr>
            </w:pPr>
            <w:r>
              <w:rPr>
                <w:rFonts w:hint="eastAsia"/>
                <w:highlight w:val="none"/>
              </w:rPr>
              <w:t>9</w:t>
            </w:r>
          </w:p>
        </w:tc>
        <w:tc>
          <w:tcPr>
            <w:tcW w:w="1019" w:type="pct"/>
            <w:shd w:val="clear" w:color="auto" w:fill="FFFFFF"/>
          </w:tcPr>
          <w:p w14:paraId="6C725EEA">
            <w:pPr>
              <w:pStyle w:val="121"/>
              <w:rPr>
                <w:highlight w:val="none"/>
              </w:rPr>
            </w:pPr>
            <w:r>
              <w:rPr>
                <w:highlight w:val="none"/>
              </w:rPr>
              <w:t>电气自控系统</w:t>
            </w:r>
          </w:p>
        </w:tc>
        <w:tc>
          <w:tcPr>
            <w:tcW w:w="1864" w:type="pct"/>
            <w:shd w:val="clear" w:color="auto" w:fill="FFFFFF"/>
          </w:tcPr>
          <w:p w14:paraId="680FD39D">
            <w:pPr>
              <w:pStyle w:val="121"/>
              <w:rPr>
                <w:highlight w:val="none"/>
              </w:rPr>
            </w:pPr>
            <w:r>
              <w:rPr>
                <w:szCs w:val="22"/>
                <w:highlight w:val="none"/>
              </w:rPr>
              <w:t>304 不锈钢柜体，PLC等</w:t>
            </w:r>
          </w:p>
        </w:tc>
        <w:tc>
          <w:tcPr>
            <w:tcW w:w="529" w:type="pct"/>
            <w:shd w:val="clear" w:color="auto" w:fill="FFFFFF"/>
            <w:vAlign w:val="center"/>
          </w:tcPr>
          <w:p w14:paraId="60E6E51A">
            <w:pPr>
              <w:pStyle w:val="121"/>
              <w:rPr>
                <w:highlight w:val="none"/>
              </w:rPr>
            </w:pPr>
            <w:r>
              <w:rPr>
                <w:highlight w:val="none"/>
              </w:rPr>
              <w:t>1</w:t>
            </w:r>
          </w:p>
        </w:tc>
        <w:tc>
          <w:tcPr>
            <w:tcW w:w="529" w:type="pct"/>
            <w:shd w:val="clear" w:color="auto" w:fill="FFFFFF"/>
            <w:vAlign w:val="center"/>
          </w:tcPr>
          <w:p w14:paraId="5F5B9861">
            <w:pPr>
              <w:pStyle w:val="121"/>
              <w:rPr>
                <w:highlight w:val="none"/>
              </w:rPr>
            </w:pPr>
            <w:r>
              <w:rPr>
                <w:highlight w:val="none"/>
              </w:rPr>
              <w:t>套</w:t>
            </w:r>
          </w:p>
        </w:tc>
        <w:tc>
          <w:tcPr>
            <w:tcW w:w="530" w:type="pct"/>
            <w:shd w:val="clear" w:color="auto" w:fill="FFFFFF"/>
            <w:vAlign w:val="center"/>
          </w:tcPr>
          <w:p w14:paraId="7840B6F5">
            <w:pPr>
              <w:pStyle w:val="121"/>
              <w:rPr>
                <w:highlight w:val="none"/>
              </w:rPr>
            </w:pPr>
          </w:p>
        </w:tc>
      </w:tr>
    </w:tbl>
    <w:p w14:paraId="24AAE761">
      <w:pPr>
        <w:ind w:firstLine="480"/>
        <w:rPr>
          <w:kern w:val="0"/>
          <w:highlight w:val="none"/>
        </w:rPr>
      </w:pPr>
      <w:r>
        <w:rPr>
          <w:rFonts w:hint="eastAsia"/>
          <w:highlight w:val="none"/>
        </w:rPr>
        <w:t>备注：</w:t>
      </w:r>
      <w:r>
        <w:rPr>
          <w:rFonts w:hint="eastAsia"/>
          <w:kern w:val="0"/>
          <w:highlight w:val="none"/>
        </w:rPr>
        <w:t>（</w:t>
      </w:r>
      <w:r>
        <w:rPr>
          <w:kern w:val="0"/>
          <w:highlight w:val="none"/>
        </w:rPr>
        <w:t>1</w:t>
      </w:r>
      <w:r>
        <w:rPr>
          <w:rFonts w:hint="eastAsia"/>
          <w:kern w:val="0"/>
          <w:highlight w:val="none"/>
        </w:rPr>
        <w:t>）以上主要设备一览表清单作为招标工程最低要求，供投标人参考，最终供货应满足项目施工需要，如上表有需要补充的清单，投标人需无条件满足，价格不作调整。具体设备尺寸仅做参考，在满足项目需要的前提下投标人可自行优化调整。</w:t>
      </w:r>
    </w:p>
    <w:p w14:paraId="0CF9D046">
      <w:pPr>
        <w:ind w:firstLine="480"/>
        <w:rPr>
          <w:highlight w:val="none"/>
        </w:rPr>
      </w:pPr>
      <w:r>
        <w:rPr>
          <w:rFonts w:hint="eastAsia"/>
          <w:kern w:val="0"/>
          <w:highlight w:val="none"/>
        </w:rPr>
        <w:t>（</w:t>
      </w:r>
      <w:r>
        <w:rPr>
          <w:kern w:val="0"/>
          <w:highlight w:val="none"/>
        </w:rPr>
        <w:t>2</w:t>
      </w:r>
      <w:r>
        <w:rPr>
          <w:rFonts w:hint="eastAsia"/>
          <w:kern w:val="0"/>
          <w:highlight w:val="none"/>
        </w:rPr>
        <w:t>）</w:t>
      </w:r>
      <w:r>
        <w:rPr>
          <w:rFonts w:hint="eastAsia"/>
          <w:highlight w:val="none"/>
        </w:rPr>
        <w:t>为了响应国家的节能政策，投标人应为机械设备配置能耗低、效率高的节能型电动机。</w:t>
      </w:r>
      <w:r>
        <w:rPr>
          <w:rFonts w:hint="eastAsia"/>
          <w:kern w:val="0"/>
          <w:highlight w:val="none"/>
        </w:rPr>
        <w:t>所有</w:t>
      </w:r>
      <w:r>
        <w:rPr>
          <w:rFonts w:hint="eastAsia"/>
          <w:highlight w:val="none"/>
        </w:rPr>
        <w:t>电动机的自然功率因数不低于</w:t>
      </w:r>
      <w:r>
        <w:rPr>
          <w:highlight w:val="none"/>
        </w:rPr>
        <w:t>0.8</w:t>
      </w:r>
      <w:r>
        <w:rPr>
          <w:rFonts w:hint="eastAsia"/>
          <w:highlight w:val="none"/>
        </w:rPr>
        <w:t>。所有电动机均采用节能电动机，</w:t>
      </w:r>
      <w:r>
        <w:rPr>
          <w:rFonts w:hint="eastAsia"/>
          <w:b/>
          <w:bCs/>
          <w:highlight w:val="none"/>
        </w:rPr>
        <w:t>电动机的能效等级应达到</w:t>
      </w:r>
      <w:r>
        <w:rPr>
          <w:b/>
          <w:bCs/>
          <w:highlight w:val="none"/>
        </w:rPr>
        <w:t>GB18613-2020</w:t>
      </w:r>
      <w:r>
        <w:rPr>
          <w:rFonts w:hint="eastAsia"/>
          <w:b/>
          <w:bCs/>
          <w:highlight w:val="none"/>
        </w:rPr>
        <w:t>《中小型三相异步电动机能效限定值及能效等级》中规定的</w:t>
      </w:r>
      <w:r>
        <w:rPr>
          <w:b/>
          <w:bCs/>
          <w:highlight w:val="none"/>
        </w:rPr>
        <w:t>2</w:t>
      </w:r>
      <w:r>
        <w:rPr>
          <w:rFonts w:hint="eastAsia"/>
          <w:b/>
          <w:bCs/>
          <w:highlight w:val="none"/>
        </w:rPr>
        <w:t>级标准，同时需具有</w:t>
      </w:r>
      <w:r>
        <w:rPr>
          <w:b/>
          <w:bCs/>
          <w:highlight w:val="none"/>
        </w:rPr>
        <w:t>2</w:t>
      </w:r>
      <w:r>
        <w:rPr>
          <w:rFonts w:hint="eastAsia"/>
          <w:b/>
          <w:bCs/>
          <w:highlight w:val="none"/>
        </w:rPr>
        <w:t>级中国能效标识</w:t>
      </w:r>
      <w:r>
        <w:rPr>
          <w:rFonts w:hint="eastAsia"/>
          <w:highlight w:val="none"/>
        </w:rPr>
        <w:t>。投标人在投标文件中提供所投产品电机能效等级的证明文件。</w:t>
      </w:r>
    </w:p>
    <w:p w14:paraId="471DAF2C">
      <w:pPr>
        <w:pStyle w:val="101"/>
        <w:numPr>
          <w:ilvl w:val="1"/>
          <w:numId w:val="0"/>
        </w:numPr>
        <w:rPr>
          <w:highlight w:val="none"/>
        </w:rPr>
      </w:pPr>
      <w:r>
        <w:rPr>
          <w:rFonts w:hint="eastAsia"/>
          <w:highlight w:val="none"/>
        </w:rPr>
        <w:t>七、设备参数技术要求</w:t>
      </w:r>
    </w:p>
    <w:p w14:paraId="5F8C8481">
      <w:pPr>
        <w:pStyle w:val="103"/>
        <w:numPr>
          <w:ilvl w:val="2"/>
          <w:numId w:val="0"/>
        </w:numPr>
        <w:ind w:firstLine="426"/>
        <w:rPr>
          <w:highlight w:val="none"/>
        </w:rPr>
      </w:pPr>
      <w:r>
        <w:rPr>
          <w:rFonts w:hint="eastAsia"/>
          <w:highlight w:val="none"/>
        </w:rPr>
        <w:t>7.1链板输送机（大件园林垃圾）</w:t>
      </w:r>
    </w:p>
    <w:p w14:paraId="0596A5E4">
      <w:pPr>
        <w:ind w:firstLine="480"/>
        <w:rPr>
          <w:highlight w:val="none"/>
        </w:rPr>
      </w:pPr>
      <w:r>
        <w:rPr>
          <w:rFonts w:hint="eastAsia"/>
          <w:highlight w:val="none"/>
        </w:rPr>
        <w:t>7.1.1大件垃圾进料链板输送机主要由驱动电机、减速机、板链、机架、张紧装置等组成。驱动电机为变频电机，根据生产情况，可进行相应调速；电机采用驱动模 式，高效节能。输送链板上设置防滑挡料隔条，防止传送物料时，物料滑落； 输送机设有安全防护楼梯、检修扶手、平台。输送机两侧均设有拉绳开关，方便操作人员控制进料。</w:t>
      </w:r>
    </w:p>
    <w:p w14:paraId="3F671CF9">
      <w:pPr>
        <w:pStyle w:val="95"/>
        <w:numPr>
          <w:ilvl w:val="3"/>
          <w:numId w:val="0"/>
        </w:numPr>
        <w:rPr>
          <w:highlight w:val="none"/>
        </w:rPr>
      </w:pPr>
      <w:r>
        <w:rPr>
          <w:highlight w:val="none"/>
        </w:rPr>
        <w:t>表2.7-1</w:t>
      </w:r>
      <w:r>
        <w:rPr>
          <w:rFonts w:hint="eastAsia"/>
          <w:highlight w:val="none"/>
        </w:rPr>
        <w:t>主要技术参数</w:t>
      </w:r>
    </w:p>
    <w:tbl>
      <w:tblPr>
        <w:tblStyle w:val="280"/>
        <w:tblW w:w="85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2462"/>
        <w:gridCol w:w="5192"/>
      </w:tblGrid>
      <w:tr w14:paraId="671B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9" w:type="dxa"/>
            <w:tcBorders>
              <w:top w:val="nil"/>
              <w:left w:val="nil"/>
              <w:bottom w:val="nil"/>
              <w:right w:val="dashSmallGap" w:color="auto" w:sz="6" w:space="0"/>
              <w:insideV w:val="dashSmallGap" w:sz="6" w:space="0"/>
              <w:tl2br w:val="nil"/>
              <w:tr2bl w:val="nil"/>
            </w:tcBorders>
            <w:shd w:val="clear" w:color="auto" w:fill="auto"/>
            <w:vAlign w:val="center"/>
          </w:tcPr>
          <w:p w14:paraId="70EDFC29">
            <w:pPr>
              <w:pStyle w:val="121"/>
              <w:rPr>
                <w:highlight w:val="none"/>
              </w:rPr>
            </w:pPr>
            <w:r>
              <w:rPr>
                <w:rFonts w:hint="eastAsia"/>
                <w:highlight w:val="none"/>
              </w:rPr>
              <w:t>序号</w:t>
            </w:r>
          </w:p>
        </w:tc>
        <w:tc>
          <w:tcPr>
            <w:tcW w:w="2462" w:type="dxa"/>
            <w:tcBorders>
              <w:top w:val="nil"/>
              <w:left w:val="nil"/>
              <w:bottom w:val="nil"/>
              <w:right w:val="dashSmallGap" w:color="auto" w:sz="6" w:space="0"/>
              <w:insideV w:val="dashSmallGap" w:sz="6" w:space="0"/>
              <w:tl2br w:val="nil"/>
              <w:tr2bl w:val="nil"/>
            </w:tcBorders>
            <w:shd w:val="clear" w:color="auto" w:fill="auto"/>
            <w:vAlign w:val="center"/>
          </w:tcPr>
          <w:p w14:paraId="22446CFE">
            <w:pPr>
              <w:pStyle w:val="121"/>
              <w:rPr>
                <w:highlight w:val="none"/>
              </w:rPr>
            </w:pPr>
            <w:r>
              <w:rPr>
                <w:rFonts w:hint="eastAsia"/>
                <w:highlight w:val="none"/>
              </w:rPr>
              <w:t>性能名称</w:t>
            </w:r>
          </w:p>
        </w:tc>
        <w:tc>
          <w:tcPr>
            <w:tcW w:w="5192" w:type="dxa"/>
            <w:tcBorders>
              <w:top w:val="nil"/>
              <w:left w:val="nil"/>
              <w:bottom w:val="nil"/>
              <w:right w:val="nil"/>
              <w:insideV w:val="dashSmallGap" w:sz="6" w:space="0"/>
              <w:tl2br w:val="nil"/>
              <w:tr2bl w:val="nil"/>
            </w:tcBorders>
            <w:shd w:val="clear" w:color="auto" w:fill="auto"/>
            <w:vAlign w:val="center"/>
          </w:tcPr>
          <w:p w14:paraId="7661FCEB">
            <w:pPr>
              <w:pStyle w:val="121"/>
              <w:rPr>
                <w:highlight w:val="none"/>
              </w:rPr>
            </w:pPr>
            <w:r>
              <w:rPr>
                <w:rFonts w:hint="eastAsia"/>
                <w:highlight w:val="none"/>
              </w:rPr>
              <w:t>技术参数</w:t>
            </w:r>
          </w:p>
        </w:tc>
      </w:tr>
      <w:tr w14:paraId="40A3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9" w:type="dxa"/>
            <w:shd w:val="clear" w:color="auto" w:fill="auto"/>
            <w:vAlign w:val="center"/>
          </w:tcPr>
          <w:p w14:paraId="769A7D13">
            <w:pPr>
              <w:pStyle w:val="121"/>
              <w:rPr>
                <w:highlight w:val="none"/>
              </w:rPr>
            </w:pPr>
            <w:r>
              <w:rPr>
                <w:rFonts w:hint="eastAsia"/>
                <w:highlight w:val="none"/>
              </w:rPr>
              <w:t>1</w:t>
            </w:r>
          </w:p>
        </w:tc>
        <w:tc>
          <w:tcPr>
            <w:tcW w:w="2462" w:type="dxa"/>
            <w:shd w:val="clear" w:color="auto" w:fill="auto"/>
            <w:vAlign w:val="center"/>
          </w:tcPr>
          <w:p w14:paraId="3466D661">
            <w:pPr>
              <w:pStyle w:val="121"/>
              <w:rPr>
                <w:highlight w:val="none"/>
              </w:rPr>
            </w:pPr>
            <w:r>
              <w:rPr>
                <w:rFonts w:hint="eastAsia"/>
                <w:highlight w:val="none"/>
              </w:rPr>
              <w:t>输送物料</w:t>
            </w:r>
          </w:p>
        </w:tc>
        <w:tc>
          <w:tcPr>
            <w:tcW w:w="5192" w:type="dxa"/>
            <w:shd w:val="clear" w:color="auto" w:fill="auto"/>
            <w:vAlign w:val="center"/>
          </w:tcPr>
          <w:p w14:paraId="7B07E583">
            <w:pPr>
              <w:pStyle w:val="121"/>
              <w:rPr>
                <w:highlight w:val="none"/>
              </w:rPr>
            </w:pPr>
            <w:r>
              <w:rPr>
                <w:rFonts w:hint="eastAsia"/>
                <w:highlight w:val="none"/>
              </w:rPr>
              <w:t>大件垃圾</w:t>
            </w:r>
          </w:p>
        </w:tc>
      </w:tr>
      <w:tr w14:paraId="0D7A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9" w:type="dxa"/>
            <w:shd w:val="clear" w:color="auto" w:fill="auto"/>
            <w:vAlign w:val="center"/>
          </w:tcPr>
          <w:p w14:paraId="43F866CD">
            <w:pPr>
              <w:pStyle w:val="121"/>
              <w:rPr>
                <w:highlight w:val="none"/>
              </w:rPr>
            </w:pPr>
            <w:r>
              <w:rPr>
                <w:rFonts w:hint="eastAsia"/>
                <w:highlight w:val="none"/>
              </w:rPr>
              <w:t>2</w:t>
            </w:r>
          </w:p>
        </w:tc>
        <w:tc>
          <w:tcPr>
            <w:tcW w:w="2462" w:type="dxa"/>
            <w:shd w:val="clear" w:color="auto" w:fill="auto"/>
            <w:vAlign w:val="center"/>
          </w:tcPr>
          <w:p w14:paraId="3DDAF9CA">
            <w:pPr>
              <w:pStyle w:val="121"/>
              <w:rPr>
                <w:highlight w:val="none"/>
              </w:rPr>
            </w:pPr>
            <w:r>
              <w:rPr>
                <w:rFonts w:hint="eastAsia"/>
                <w:highlight w:val="none"/>
              </w:rPr>
              <w:t>规格尺寸</w:t>
            </w:r>
          </w:p>
        </w:tc>
        <w:tc>
          <w:tcPr>
            <w:tcW w:w="5192" w:type="dxa"/>
            <w:shd w:val="clear" w:color="auto" w:fill="auto"/>
            <w:vAlign w:val="center"/>
          </w:tcPr>
          <w:p w14:paraId="28B7E53B">
            <w:pPr>
              <w:pStyle w:val="121"/>
              <w:rPr>
                <w:highlight w:val="none"/>
              </w:rPr>
            </w:pPr>
            <w:r>
              <w:rPr>
                <w:szCs w:val="24"/>
                <w:highlight w:val="none"/>
              </w:rPr>
              <w:t>LB1800</w:t>
            </w:r>
            <w:r>
              <w:rPr>
                <w:rFonts w:hint="eastAsia"/>
                <w:szCs w:val="24"/>
                <w:highlight w:val="none"/>
              </w:rPr>
              <w:t>，长度：</w:t>
            </w:r>
            <w:r>
              <w:rPr>
                <w:szCs w:val="24"/>
                <w:highlight w:val="none"/>
              </w:rPr>
              <w:t>14000mm</w:t>
            </w:r>
            <w:r>
              <w:rPr>
                <w:rFonts w:hint="eastAsia"/>
                <w:szCs w:val="24"/>
                <w:highlight w:val="none"/>
              </w:rPr>
              <w:t>，倾角：</w:t>
            </w:r>
            <w:r>
              <w:rPr>
                <w:szCs w:val="24"/>
                <w:highlight w:val="none"/>
              </w:rPr>
              <w:t>0</w:t>
            </w:r>
            <w:r>
              <w:rPr>
                <w:rFonts w:hint="eastAsia"/>
                <w:szCs w:val="24"/>
                <w:highlight w:val="none"/>
              </w:rPr>
              <w:t>°</w:t>
            </w:r>
            <w:r>
              <w:rPr>
                <w:szCs w:val="24"/>
                <w:highlight w:val="none"/>
              </w:rPr>
              <w:t>+30</w:t>
            </w:r>
            <w:r>
              <w:rPr>
                <w:rFonts w:hint="eastAsia"/>
                <w:szCs w:val="24"/>
                <w:highlight w:val="none"/>
              </w:rPr>
              <w:t>°</w:t>
            </w:r>
            <w:r>
              <w:rPr>
                <w:rFonts w:hint="eastAsia"/>
                <w:highlight w:val="none"/>
              </w:rPr>
              <w:t xml:space="preserve"> </w:t>
            </w:r>
          </w:p>
        </w:tc>
      </w:tr>
      <w:tr w14:paraId="7C98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9" w:type="dxa"/>
            <w:shd w:val="clear" w:color="auto" w:fill="auto"/>
            <w:vAlign w:val="center"/>
          </w:tcPr>
          <w:p w14:paraId="71CA7453">
            <w:pPr>
              <w:pStyle w:val="121"/>
              <w:rPr>
                <w:highlight w:val="none"/>
              </w:rPr>
            </w:pPr>
            <w:r>
              <w:rPr>
                <w:rFonts w:hint="eastAsia"/>
                <w:highlight w:val="none"/>
              </w:rPr>
              <w:t>3</w:t>
            </w:r>
          </w:p>
        </w:tc>
        <w:tc>
          <w:tcPr>
            <w:tcW w:w="2462" w:type="dxa"/>
            <w:shd w:val="clear" w:color="auto" w:fill="auto"/>
            <w:vAlign w:val="center"/>
          </w:tcPr>
          <w:p w14:paraId="1FB8EAF5">
            <w:pPr>
              <w:pStyle w:val="121"/>
              <w:rPr>
                <w:highlight w:val="none"/>
              </w:rPr>
            </w:pPr>
            <w:r>
              <w:rPr>
                <w:rFonts w:hint="eastAsia"/>
                <w:highlight w:val="none"/>
              </w:rPr>
              <w:t>数量</w:t>
            </w:r>
          </w:p>
        </w:tc>
        <w:tc>
          <w:tcPr>
            <w:tcW w:w="5192" w:type="dxa"/>
            <w:shd w:val="clear" w:color="auto" w:fill="auto"/>
            <w:vAlign w:val="center"/>
          </w:tcPr>
          <w:p w14:paraId="36FE0AB3">
            <w:pPr>
              <w:pStyle w:val="121"/>
              <w:rPr>
                <w:highlight w:val="none"/>
              </w:rPr>
            </w:pPr>
            <w:r>
              <w:rPr>
                <w:rFonts w:hint="eastAsia"/>
                <w:highlight w:val="none"/>
              </w:rPr>
              <w:t>1台</w:t>
            </w:r>
          </w:p>
        </w:tc>
      </w:tr>
      <w:tr w14:paraId="1333C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9" w:type="dxa"/>
            <w:shd w:val="clear" w:color="auto" w:fill="auto"/>
            <w:vAlign w:val="center"/>
          </w:tcPr>
          <w:p w14:paraId="46EBA897">
            <w:pPr>
              <w:pStyle w:val="121"/>
              <w:rPr>
                <w:highlight w:val="none"/>
              </w:rPr>
            </w:pPr>
            <w:r>
              <w:rPr>
                <w:rFonts w:hint="eastAsia"/>
                <w:highlight w:val="none"/>
              </w:rPr>
              <w:t>4</w:t>
            </w:r>
          </w:p>
        </w:tc>
        <w:tc>
          <w:tcPr>
            <w:tcW w:w="2462" w:type="dxa"/>
            <w:shd w:val="clear" w:color="auto" w:fill="auto"/>
            <w:vAlign w:val="center"/>
          </w:tcPr>
          <w:p w14:paraId="61060AB1">
            <w:pPr>
              <w:pStyle w:val="121"/>
              <w:rPr>
                <w:highlight w:val="none"/>
              </w:rPr>
            </w:pPr>
            <w:r>
              <w:rPr>
                <w:rFonts w:hint="eastAsia"/>
                <w:highlight w:val="none"/>
              </w:rPr>
              <w:t>输送速度</w:t>
            </w:r>
          </w:p>
        </w:tc>
        <w:tc>
          <w:tcPr>
            <w:tcW w:w="5192" w:type="dxa"/>
            <w:shd w:val="clear" w:color="auto" w:fill="auto"/>
            <w:vAlign w:val="center"/>
          </w:tcPr>
          <w:p w14:paraId="21F37EC0">
            <w:pPr>
              <w:pStyle w:val="121"/>
              <w:rPr>
                <w:highlight w:val="none"/>
              </w:rPr>
            </w:pPr>
            <w:r>
              <w:rPr>
                <w:rFonts w:hint="eastAsia"/>
                <w:highlight w:val="none"/>
              </w:rPr>
              <w:t>0～0.3m/s 连续可调（变频调速）</w:t>
            </w:r>
          </w:p>
        </w:tc>
      </w:tr>
      <w:tr w14:paraId="7E08A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9" w:type="dxa"/>
            <w:shd w:val="clear" w:color="auto" w:fill="auto"/>
            <w:vAlign w:val="center"/>
          </w:tcPr>
          <w:p w14:paraId="1615D6DA">
            <w:pPr>
              <w:pStyle w:val="121"/>
              <w:rPr>
                <w:highlight w:val="none"/>
              </w:rPr>
            </w:pPr>
            <w:r>
              <w:rPr>
                <w:rFonts w:hint="eastAsia"/>
                <w:highlight w:val="none"/>
              </w:rPr>
              <w:t>5</w:t>
            </w:r>
          </w:p>
        </w:tc>
        <w:tc>
          <w:tcPr>
            <w:tcW w:w="2462" w:type="dxa"/>
            <w:shd w:val="clear" w:color="auto" w:fill="auto"/>
            <w:vAlign w:val="center"/>
          </w:tcPr>
          <w:p w14:paraId="23A6F628">
            <w:pPr>
              <w:pStyle w:val="121"/>
              <w:rPr>
                <w:highlight w:val="none"/>
              </w:rPr>
            </w:pPr>
            <w:r>
              <w:rPr>
                <w:rFonts w:hint="eastAsia"/>
                <w:highlight w:val="none"/>
              </w:rPr>
              <w:t>电源</w:t>
            </w:r>
          </w:p>
        </w:tc>
        <w:tc>
          <w:tcPr>
            <w:tcW w:w="5192" w:type="dxa"/>
            <w:shd w:val="clear" w:color="auto" w:fill="auto"/>
            <w:vAlign w:val="center"/>
          </w:tcPr>
          <w:p w14:paraId="72FB58E4">
            <w:pPr>
              <w:pStyle w:val="121"/>
              <w:rPr>
                <w:highlight w:val="none"/>
              </w:rPr>
            </w:pPr>
            <w:r>
              <w:rPr>
                <w:rFonts w:hint="eastAsia"/>
                <w:highlight w:val="none"/>
              </w:rPr>
              <w:t>380V/50Hz/3相5线制</w:t>
            </w:r>
          </w:p>
        </w:tc>
      </w:tr>
      <w:tr w14:paraId="4F0E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9" w:type="dxa"/>
            <w:shd w:val="clear" w:color="auto" w:fill="auto"/>
            <w:vAlign w:val="center"/>
          </w:tcPr>
          <w:p w14:paraId="0DB357F1">
            <w:pPr>
              <w:pStyle w:val="121"/>
              <w:rPr>
                <w:highlight w:val="none"/>
              </w:rPr>
            </w:pPr>
            <w:r>
              <w:rPr>
                <w:rFonts w:hint="eastAsia"/>
                <w:highlight w:val="none"/>
              </w:rPr>
              <w:t>6</w:t>
            </w:r>
          </w:p>
        </w:tc>
        <w:tc>
          <w:tcPr>
            <w:tcW w:w="2462" w:type="dxa"/>
            <w:shd w:val="clear" w:color="auto" w:fill="auto"/>
            <w:vAlign w:val="center"/>
          </w:tcPr>
          <w:p w14:paraId="2AD248F6">
            <w:pPr>
              <w:pStyle w:val="121"/>
              <w:rPr>
                <w:highlight w:val="none"/>
              </w:rPr>
            </w:pPr>
            <w:r>
              <w:rPr>
                <w:rFonts w:hint="eastAsia"/>
                <w:highlight w:val="none"/>
              </w:rPr>
              <w:t>装机功率</w:t>
            </w:r>
          </w:p>
        </w:tc>
        <w:tc>
          <w:tcPr>
            <w:tcW w:w="5192" w:type="dxa"/>
            <w:shd w:val="clear" w:color="auto" w:fill="auto"/>
            <w:vAlign w:val="center"/>
          </w:tcPr>
          <w:p w14:paraId="5F6BA803">
            <w:pPr>
              <w:pStyle w:val="121"/>
              <w:rPr>
                <w:highlight w:val="none"/>
              </w:rPr>
            </w:pPr>
            <w:r>
              <w:rPr>
                <w:rFonts w:hint="eastAsia"/>
                <w:highlight w:val="none"/>
              </w:rPr>
              <w:t>7.5-15kw</w:t>
            </w:r>
          </w:p>
        </w:tc>
      </w:tr>
    </w:tbl>
    <w:p w14:paraId="72C7FB6D">
      <w:pPr>
        <w:pStyle w:val="103"/>
        <w:numPr>
          <w:ilvl w:val="2"/>
          <w:numId w:val="0"/>
        </w:numPr>
        <w:ind w:firstLine="426"/>
        <w:rPr>
          <w:highlight w:val="none"/>
        </w:rPr>
      </w:pPr>
      <w:r>
        <w:rPr>
          <w:rFonts w:hint="eastAsia"/>
          <w:highlight w:val="none"/>
        </w:rPr>
        <w:t>7.2破碎机</w:t>
      </w:r>
    </w:p>
    <w:p w14:paraId="34D1B25B">
      <w:pPr>
        <w:ind w:firstLine="480"/>
        <w:rPr>
          <w:highlight w:val="none"/>
        </w:rPr>
      </w:pPr>
      <w:r>
        <w:rPr>
          <w:rFonts w:hint="eastAsia"/>
          <w:highlight w:val="none"/>
        </w:rPr>
        <w:t>7.2.1破碎机可输出粒径相对均匀的物料流，便于后续分选设备进一步对物料进行分离或回收，从而获得有价值的可回收物等。</w:t>
      </w:r>
    </w:p>
    <w:p w14:paraId="7542434C">
      <w:pPr>
        <w:ind w:firstLine="480"/>
        <w:rPr>
          <w:rFonts w:ascii="宋体" w:hAnsi="宋体"/>
          <w:highlight w:val="none"/>
        </w:rPr>
      </w:pPr>
      <w:r>
        <w:rPr>
          <w:rFonts w:hint="eastAsia" w:ascii="宋体" w:hAnsi="宋体"/>
          <w:highlight w:val="none"/>
        </w:rPr>
        <w:t>7.2.2该设备在本工艺线中作为首道工序主要用于大件垃圾、园林垃圾等物料的破碎减容。粗破碎设备具有较好的物料通过性和抗缠绕能力。</w:t>
      </w:r>
    </w:p>
    <w:p w14:paraId="5BBEAB07">
      <w:pPr>
        <w:ind w:firstLine="480"/>
        <w:rPr>
          <w:rFonts w:ascii="宋体" w:hAnsi="宋体"/>
          <w:highlight w:val="none"/>
        </w:rPr>
      </w:pPr>
      <w:r>
        <w:rPr>
          <w:rFonts w:hint="eastAsia" w:ascii="宋体" w:hAnsi="宋体"/>
          <w:highlight w:val="none"/>
        </w:rPr>
        <w:t>7.2.3处理物料范围：适配树干、树枝、灌木、枯木等大件园林垃圾，最大进料尺寸3000mm×2600mm，含水率耐受范围 10%-60%。</w:t>
      </w:r>
    </w:p>
    <w:p w14:paraId="4DEE3584">
      <w:pPr>
        <w:ind w:firstLine="480"/>
        <w:rPr>
          <w:rFonts w:ascii="宋体" w:hAnsi="宋体"/>
          <w:highlight w:val="none"/>
        </w:rPr>
      </w:pPr>
      <w:r>
        <w:rPr>
          <w:rFonts w:hint="eastAsia" w:ascii="宋体" w:hAnsi="宋体"/>
          <w:highlight w:val="none"/>
        </w:rPr>
        <w:t>7.2.4生产能力：≥20t/h（物料重量），破碎后出料粒径可调节，主流粒径≤50mm（满足后续处理需求）。</w:t>
      </w:r>
    </w:p>
    <w:p w14:paraId="3F0A400C">
      <w:pPr>
        <w:ind w:firstLine="480"/>
        <w:rPr>
          <w:rFonts w:ascii="宋体" w:hAnsi="宋体"/>
          <w:highlight w:val="none"/>
        </w:rPr>
      </w:pPr>
      <w:r>
        <w:rPr>
          <w:rFonts w:hint="eastAsia" w:ascii="宋体" w:hAnsi="宋体"/>
          <w:highlight w:val="none"/>
        </w:rPr>
        <w:t>7.2.5功率配置：配套电机符合国标 IP54 及以上防护等级，绝缘等级≥F 级，保证重载运行稳定性。</w:t>
      </w:r>
    </w:p>
    <w:p w14:paraId="65D9CC1C">
      <w:pPr>
        <w:ind w:firstLine="482"/>
        <w:rPr>
          <w:rFonts w:ascii="宋体" w:hAnsi="宋体"/>
          <w:b/>
          <w:bCs/>
          <w:highlight w:val="none"/>
        </w:rPr>
      </w:pPr>
      <w:r>
        <w:rPr>
          <w:rFonts w:hint="eastAsia"/>
          <w:b/>
          <w:bCs/>
          <w:highlight w:val="none"/>
        </w:rPr>
        <w:t>★7.2.6</w:t>
      </w:r>
      <w:r>
        <w:rPr>
          <w:rFonts w:hint="eastAsia" w:ascii="宋体" w:hAnsi="宋体"/>
          <w:b/>
          <w:bCs/>
          <w:highlight w:val="none"/>
        </w:rPr>
        <w:t>破碎结构：采用双轴剪切式破碎（适配韧性物料），刀轴转速 50-100r/min，刀片材质为高强度合金钢（HRC≥55），可拆换、耐磨耐腐蚀。（提供</w:t>
      </w:r>
      <w:r>
        <w:rPr>
          <w:rFonts w:hint="eastAsia"/>
          <w:b/>
          <w:bCs/>
          <w:highlight w:val="none"/>
        </w:rPr>
        <w:t>具备CMA认证的第三方检测机构出具的检测报告或</w:t>
      </w:r>
      <w:r>
        <w:rPr>
          <w:rFonts w:hint="eastAsia" w:ascii="宋体" w:hAnsi="宋体"/>
          <w:b/>
          <w:bCs/>
          <w:highlight w:val="none"/>
        </w:rPr>
        <w:t>承诺函上传至电子投标文件中）</w:t>
      </w:r>
    </w:p>
    <w:p w14:paraId="0A5250E3">
      <w:pPr>
        <w:ind w:firstLine="480"/>
        <w:rPr>
          <w:rFonts w:ascii="宋体" w:hAnsi="宋体"/>
          <w:highlight w:val="none"/>
        </w:rPr>
      </w:pPr>
      <w:r>
        <w:rPr>
          <w:rFonts w:hint="eastAsia" w:ascii="宋体" w:hAnsi="宋体"/>
          <w:highlight w:val="none"/>
        </w:rPr>
        <w:t>7.2.7外形与重量：设备整机重量≥8t，保证运行时稳固性，便于现场安装调试。</w:t>
      </w:r>
    </w:p>
    <w:p w14:paraId="4F4FA889">
      <w:pPr>
        <w:ind w:firstLine="480"/>
        <w:rPr>
          <w:rFonts w:ascii="宋体" w:hAnsi="宋体"/>
          <w:highlight w:val="none"/>
        </w:rPr>
      </w:pPr>
      <w:bookmarkStart w:id="91" w:name="OLE_LINK24"/>
      <w:bookmarkStart w:id="92" w:name="OLE_LINK25"/>
      <w:r>
        <w:rPr>
          <w:rFonts w:hint="eastAsia"/>
          <w:highlight w:val="none"/>
        </w:rPr>
        <w:t>★</w:t>
      </w:r>
      <w:bookmarkEnd w:id="91"/>
      <w:bookmarkEnd w:id="92"/>
      <w:r>
        <w:rPr>
          <w:rFonts w:hint="eastAsia"/>
          <w:highlight w:val="none"/>
        </w:rPr>
        <w:t>7.2.8</w:t>
      </w:r>
      <w:r>
        <w:rPr>
          <w:rFonts w:hint="eastAsia" w:ascii="宋体" w:hAnsi="宋体"/>
          <w:highlight w:val="none"/>
        </w:rPr>
        <w:t>破碎效率与效果：连续运行无卡料（配备自动反转防卡功能），出料均匀，无过大结块，粒径合格率≥95%（按招标约定粒径标准）。</w:t>
      </w:r>
      <w:r>
        <w:rPr>
          <w:rFonts w:hint="eastAsia" w:ascii="宋体" w:hAnsi="宋体"/>
          <w:b/>
          <w:bCs/>
          <w:highlight w:val="none"/>
        </w:rPr>
        <w:t>（提供</w:t>
      </w:r>
      <w:r>
        <w:rPr>
          <w:rFonts w:hint="eastAsia"/>
          <w:b/>
          <w:bCs/>
          <w:highlight w:val="none"/>
        </w:rPr>
        <w:t>具备CMA认证的第三方检测机构出具的检测报告或</w:t>
      </w:r>
      <w:r>
        <w:rPr>
          <w:rFonts w:hint="eastAsia" w:ascii="宋体" w:hAnsi="宋体"/>
          <w:b/>
          <w:bCs/>
          <w:highlight w:val="none"/>
        </w:rPr>
        <w:t>承诺函上传至电子投标文件中）</w:t>
      </w:r>
    </w:p>
    <w:p w14:paraId="7DBB7646">
      <w:pPr>
        <w:ind w:firstLine="480"/>
        <w:rPr>
          <w:rFonts w:ascii="宋体" w:hAnsi="宋体"/>
          <w:highlight w:val="none"/>
        </w:rPr>
      </w:pPr>
      <w:r>
        <w:rPr>
          <w:rFonts w:hint="eastAsia"/>
          <w:highlight w:val="none"/>
        </w:rPr>
        <w:t>★</w:t>
      </w:r>
      <w:r>
        <w:rPr>
          <w:rFonts w:hint="eastAsia" w:ascii="宋体" w:hAnsi="宋体"/>
          <w:highlight w:val="none"/>
        </w:rPr>
        <w:t>7.2.9耐磨与寿命：刀片正常工况下使用寿命≥800h，刀轴轴承密封良好，防尘防水，连续运行无故障时间≥800h。</w:t>
      </w:r>
      <w:r>
        <w:rPr>
          <w:rFonts w:hint="eastAsia" w:ascii="宋体" w:hAnsi="宋体"/>
          <w:b/>
          <w:bCs/>
          <w:highlight w:val="none"/>
        </w:rPr>
        <w:t>（提供</w:t>
      </w:r>
      <w:r>
        <w:rPr>
          <w:rFonts w:hint="eastAsia"/>
          <w:b/>
          <w:bCs/>
          <w:highlight w:val="none"/>
        </w:rPr>
        <w:t>具备CMA认证的第三方检测机构出具的检测报告或</w:t>
      </w:r>
      <w:r>
        <w:rPr>
          <w:rFonts w:hint="eastAsia" w:ascii="宋体" w:hAnsi="宋体"/>
          <w:b/>
          <w:bCs/>
          <w:highlight w:val="none"/>
        </w:rPr>
        <w:t>承诺函上传至电子投标文件中）</w:t>
      </w:r>
    </w:p>
    <w:p w14:paraId="15A3F1BD">
      <w:pPr>
        <w:ind w:firstLine="480"/>
        <w:rPr>
          <w:rFonts w:ascii="宋体" w:hAnsi="宋体"/>
          <w:highlight w:val="none"/>
        </w:rPr>
      </w:pPr>
      <w:r>
        <w:rPr>
          <w:rFonts w:hint="eastAsia" w:ascii="宋体" w:hAnsi="宋体"/>
          <w:highlight w:val="none"/>
        </w:rPr>
        <w:t>7.2.10环保性能：配套除尘系统（与前文滤袋适配），粉尘达标排放；设备运行噪声≤85dB（距设备 1m 处测量），无明显振动。</w:t>
      </w:r>
    </w:p>
    <w:p w14:paraId="7232E741">
      <w:pPr>
        <w:ind w:firstLine="482"/>
        <w:rPr>
          <w:rFonts w:ascii="宋体" w:hAnsi="宋体"/>
          <w:b/>
          <w:bCs/>
          <w:highlight w:val="none"/>
        </w:rPr>
      </w:pPr>
      <w:r>
        <w:rPr>
          <w:rFonts w:hint="eastAsia"/>
          <w:b/>
          <w:bCs/>
          <w:highlight w:val="none"/>
        </w:rPr>
        <w:t>★7.2.11</w:t>
      </w:r>
      <w:r>
        <w:rPr>
          <w:rFonts w:hint="eastAsia" w:ascii="宋体" w:hAnsi="宋体"/>
          <w:b/>
          <w:bCs/>
          <w:highlight w:val="none"/>
        </w:rPr>
        <w:t>安全防护：配备过载保护、急停按钮、开盖断电联锁装置，进料口设防护格栅或防护栏杆，防止人员误操作；电气系统符合 GB 7251.1 标准，接地可靠。（提供</w:t>
      </w:r>
      <w:r>
        <w:rPr>
          <w:rFonts w:hint="eastAsia"/>
          <w:b/>
          <w:bCs/>
          <w:highlight w:val="none"/>
        </w:rPr>
        <w:t>具备CMA认证的第三方检测机构出具的检测报告或</w:t>
      </w:r>
      <w:r>
        <w:rPr>
          <w:rFonts w:hint="eastAsia" w:ascii="宋体" w:hAnsi="宋体"/>
          <w:b/>
          <w:bCs/>
          <w:highlight w:val="none"/>
        </w:rPr>
        <w:t>承诺函上传至电子投标文件中）</w:t>
      </w:r>
    </w:p>
    <w:p w14:paraId="66AB1A08">
      <w:pPr>
        <w:ind w:firstLine="480"/>
        <w:rPr>
          <w:rFonts w:ascii="宋体" w:hAnsi="宋体"/>
          <w:highlight w:val="none"/>
        </w:rPr>
      </w:pPr>
      <w:r>
        <w:rPr>
          <w:rFonts w:hint="eastAsia" w:ascii="宋体" w:hAnsi="宋体"/>
          <w:highlight w:val="none"/>
        </w:rPr>
        <w:t>7.2.12操作与维护：支持手动 / 自动两种控制模式，配备触摸屏操作界面；易损件（刀片、衬板等）拆装便捷。</w:t>
      </w:r>
    </w:p>
    <w:p w14:paraId="459DD7F5">
      <w:pPr>
        <w:ind w:firstLine="480"/>
        <w:rPr>
          <w:rFonts w:ascii="宋体" w:hAnsi="宋体"/>
          <w:highlight w:val="none"/>
        </w:rPr>
      </w:pPr>
      <w:r>
        <w:rPr>
          <w:rFonts w:hint="eastAsia" w:ascii="宋体" w:hAnsi="宋体"/>
          <w:highlight w:val="none"/>
        </w:rPr>
        <w:t>7.2.13设备自带软启动或变频启动装置。</w:t>
      </w:r>
    </w:p>
    <w:p w14:paraId="53AFCAEC">
      <w:pPr>
        <w:pStyle w:val="95"/>
        <w:numPr>
          <w:ilvl w:val="3"/>
          <w:numId w:val="0"/>
        </w:numPr>
        <w:ind w:firstLine="289"/>
        <w:rPr>
          <w:highlight w:val="none"/>
        </w:rPr>
      </w:pPr>
      <w:r>
        <w:rPr>
          <w:highlight w:val="none"/>
        </w:rPr>
        <w:t>表7-2</w:t>
      </w:r>
      <w:r>
        <w:rPr>
          <w:rFonts w:hint="eastAsia"/>
          <w:highlight w:val="none"/>
        </w:rPr>
        <w:t>主要技术参数</w:t>
      </w:r>
    </w:p>
    <w:tbl>
      <w:tblPr>
        <w:tblStyle w:val="42"/>
        <w:tblW w:w="7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793"/>
        <w:gridCol w:w="4208"/>
      </w:tblGrid>
      <w:tr w14:paraId="7453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972" w:type="dxa"/>
            <w:shd w:val="clear" w:color="auto" w:fill="FFFFFF"/>
            <w:vAlign w:val="center"/>
          </w:tcPr>
          <w:p w14:paraId="1B6ABCEA">
            <w:pPr>
              <w:pStyle w:val="121"/>
              <w:rPr>
                <w:highlight w:val="none"/>
              </w:rPr>
            </w:pPr>
            <w:r>
              <w:rPr>
                <w:highlight w:val="none"/>
              </w:rPr>
              <w:t>序号</w:t>
            </w:r>
          </w:p>
        </w:tc>
        <w:tc>
          <w:tcPr>
            <w:tcW w:w="2793" w:type="dxa"/>
            <w:shd w:val="clear" w:color="auto" w:fill="FFFFFF"/>
            <w:vAlign w:val="center"/>
          </w:tcPr>
          <w:p w14:paraId="7C5A5C1B">
            <w:pPr>
              <w:pStyle w:val="121"/>
              <w:rPr>
                <w:highlight w:val="none"/>
              </w:rPr>
            </w:pPr>
            <w:r>
              <w:rPr>
                <w:highlight w:val="none"/>
              </w:rPr>
              <w:t>性能名称</w:t>
            </w:r>
          </w:p>
        </w:tc>
        <w:tc>
          <w:tcPr>
            <w:tcW w:w="4208" w:type="dxa"/>
            <w:shd w:val="clear" w:color="auto" w:fill="FFFFFF"/>
            <w:vAlign w:val="center"/>
          </w:tcPr>
          <w:p w14:paraId="055F6854">
            <w:pPr>
              <w:pStyle w:val="121"/>
              <w:rPr>
                <w:highlight w:val="none"/>
              </w:rPr>
            </w:pPr>
            <w:r>
              <w:rPr>
                <w:highlight w:val="none"/>
              </w:rPr>
              <w:t>技术参数</w:t>
            </w:r>
          </w:p>
        </w:tc>
      </w:tr>
      <w:tr w14:paraId="706A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72" w:type="dxa"/>
            <w:shd w:val="clear" w:color="auto" w:fill="FFFFFF"/>
            <w:vAlign w:val="center"/>
          </w:tcPr>
          <w:p w14:paraId="2D49CFE2">
            <w:pPr>
              <w:pStyle w:val="121"/>
              <w:rPr>
                <w:highlight w:val="none"/>
              </w:rPr>
            </w:pPr>
            <w:r>
              <w:rPr>
                <w:highlight w:val="none"/>
              </w:rPr>
              <w:t>1</w:t>
            </w:r>
          </w:p>
        </w:tc>
        <w:tc>
          <w:tcPr>
            <w:tcW w:w="2793" w:type="dxa"/>
            <w:shd w:val="clear" w:color="auto" w:fill="FFFFFF"/>
            <w:vAlign w:val="center"/>
          </w:tcPr>
          <w:p w14:paraId="196C8734">
            <w:pPr>
              <w:pStyle w:val="121"/>
              <w:rPr>
                <w:highlight w:val="none"/>
              </w:rPr>
            </w:pPr>
            <w:r>
              <w:rPr>
                <w:highlight w:val="none"/>
              </w:rPr>
              <w:t>处理物料</w:t>
            </w:r>
          </w:p>
        </w:tc>
        <w:tc>
          <w:tcPr>
            <w:tcW w:w="4208" w:type="dxa"/>
            <w:shd w:val="clear" w:color="auto" w:fill="FFFFFF"/>
            <w:vAlign w:val="center"/>
          </w:tcPr>
          <w:p w14:paraId="6349A5F6">
            <w:pPr>
              <w:pStyle w:val="121"/>
              <w:rPr>
                <w:highlight w:val="none"/>
              </w:rPr>
            </w:pPr>
            <w:r>
              <w:rPr>
                <w:highlight w:val="none"/>
              </w:rPr>
              <w:t>大件垃圾、园林垃圾</w:t>
            </w:r>
          </w:p>
        </w:tc>
      </w:tr>
      <w:tr w14:paraId="444AA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972" w:type="dxa"/>
            <w:shd w:val="clear" w:color="auto" w:fill="FFFFFF"/>
            <w:vAlign w:val="center"/>
          </w:tcPr>
          <w:p w14:paraId="72ED739C">
            <w:pPr>
              <w:pStyle w:val="121"/>
              <w:rPr>
                <w:highlight w:val="none"/>
              </w:rPr>
            </w:pPr>
            <w:r>
              <w:rPr>
                <w:highlight w:val="none"/>
              </w:rPr>
              <w:t>2</w:t>
            </w:r>
          </w:p>
        </w:tc>
        <w:tc>
          <w:tcPr>
            <w:tcW w:w="2793" w:type="dxa"/>
            <w:shd w:val="clear" w:color="auto" w:fill="FFFFFF"/>
            <w:vAlign w:val="center"/>
          </w:tcPr>
          <w:p w14:paraId="348C7C8F">
            <w:pPr>
              <w:pStyle w:val="121"/>
              <w:rPr>
                <w:highlight w:val="none"/>
              </w:rPr>
            </w:pPr>
            <w:r>
              <w:rPr>
                <w:highlight w:val="none"/>
              </w:rPr>
              <w:t>处理能力</w:t>
            </w:r>
          </w:p>
        </w:tc>
        <w:tc>
          <w:tcPr>
            <w:tcW w:w="4208" w:type="dxa"/>
            <w:shd w:val="clear" w:color="auto" w:fill="FFFFFF"/>
            <w:vAlign w:val="center"/>
          </w:tcPr>
          <w:p w14:paraId="4ABC7457">
            <w:pPr>
              <w:pStyle w:val="121"/>
              <w:rPr>
                <w:highlight w:val="none"/>
              </w:rPr>
            </w:pPr>
            <w:r>
              <w:rPr>
                <w:highlight w:val="none"/>
              </w:rPr>
              <w:t>≥</w:t>
            </w:r>
            <w:r>
              <w:rPr>
                <w:rFonts w:hint="eastAsia"/>
                <w:highlight w:val="none"/>
              </w:rPr>
              <w:t>20</w:t>
            </w:r>
            <w:r>
              <w:rPr>
                <w:highlight w:val="none"/>
              </w:rPr>
              <w:t>t/h</w:t>
            </w:r>
          </w:p>
        </w:tc>
      </w:tr>
      <w:tr w14:paraId="0A980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972" w:type="dxa"/>
            <w:shd w:val="clear" w:color="auto" w:fill="FFFFFF"/>
            <w:vAlign w:val="center"/>
          </w:tcPr>
          <w:p w14:paraId="79399E9A">
            <w:pPr>
              <w:pStyle w:val="121"/>
              <w:rPr>
                <w:highlight w:val="none"/>
              </w:rPr>
            </w:pPr>
            <w:r>
              <w:rPr>
                <w:highlight w:val="none"/>
              </w:rPr>
              <w:t>3</w:t>
            </w:r>
          </w:p>
        </w:tc>
        <w:tc>
          <w:tcPr>
            <w:tcW w:w="2793" w:type="dxa"/>
            <w:shd w:val="clear" w:color="auto" w:fill="FFFFFF"/>
            <w:vAlign w:val="center"/>
          </w:tcPr>
          <w:p w14:paraId="191404F1">
            <w:pPr>
              <w:pStyle w:val="121"/>
              <w:rPr>
                <w:highlight w:val="none"/>
              </w:rPr>
            </w:pPr>
            <w:r>
              <w:rPr>
                <w:highlight w:val="none"/>
              </w:rPr>
              <w:t>数量</w:t>
            </w:r>
          </w:p>
        </w:tc>
        <w:tc>
          <w:tcPr>
            <w:tcW w:w="4208" w:type="dxa"/>
            <w:shd w:val="clear" w:color="auto" w:fill="FFFFFF"/>
            <w:vAlign w:val="center"/>
          </w:tcPr>
          <w:p w14:paraId="1AD2D40D">
            <w:pPr>
              <w:pStyle w:val="121"/>
              <w:rPr>
                <w:highlight w:val="none"/>
              </w:rPr>
            </w:pPr>
            <w:r>
              <w:rPr>
                <w:highlight w:val="none"/>
              </w:rPr>
              <w:t>1台</w:t>
            </w:r>
          </w:p>
        </w:tc>
      </w:tr>
      <w:tr w14:paraId="1906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72" w:type="dxa"/>
            <w:shd w:val="clear" w:color="auto" w:fill="FFFFFF"/>
            <w:vAlign w:val="center"/>
          </w:tcPr>
          <w:p w14:paraId="1D1FE3C1">
            <w:pPr>
              <w:pStyle w:val="121"/>
              <w:rPr>
                <w:highlight w:val="none"/>
              </w:rPr>
            </w:pPr>
            <w:r>
              <w:rPr>
                <w:highlight w:val="none"/>
              </w:rPr>
              <w:t>4</w:t>
            </w:r>
          </w:p>
        </w:tc>
        <w:tc>
          <w:tcPr>
            <w:tcW w:w="2793" w:type="dxa"/>
            <w:shd w:val="clear" w:color="auto" w:fill="FFFFFF"/>
            <w:vAlign w:val="center"/>
          </w:tcPr>
          <w:p w14:paraId="20FAE46B">
            <w:pPr>
              <w:pStyle w:val="121"/>
              <w:rPr>
                <w:highlight w:val="none"/>
              </w:rPr>
            </w:pPr>
            <w:r>
              <w:rPr>
                <w:highlight w:val="none"/>
              </w:rPr>
              <w:t>电源</w:t>
            </w:r>
          </w:p>
        </w:tc>
        <w:tc>
          <w:tcPr>
            <w:tcW w:w="4208" w:type="dxa"/>
            <w:shd w:val="clear" w:color="auto" w:fill="FFFFFF"/>
            <w:vAlign w:val="center"/>
          </w:tcPr>
          <w:p w14:paraId="4B5E99D6">
            <w:pPr>
              <w:pStyle w:val="121"/>
              <w:rPr>
                <w:highlight w:val="none"/>
              </w:rPr>
            </w:pPr>
            <w:r>
              <w:rPr>
                <w:highlight w:val="none"/>
              </w:rPr>
              <w:t>380V/50Hz/3相5线制</w:t>
            </w:r>
          </w:p>
        </w:tc>
      </w:tr>
      <w:tr w14:paraId="4812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972" w:type="dxa"/>
            <w:shd w:val="clear" w:color="auto" w:fill="FFFFFF"/>
            <w:vAlign w:val="center"/>
          </w:tcPr>
          <w:p w14:paraId="71ADB99C">
            <w:pPr>
              <w:pStyle w:val="121"/>
              <w:rPr>
                <w:highlight w:val="none"/>
              </w:rPr>
            </w:pPr>
            <w:r>
              <w:rPr>
                <w:highlight w:val="none"/>
              </w:rPr>
              <w:t>5</w:t>
            </w:r>
          </w:p>
        </w:tc>
        <w:tc>
          <w:tcPr>
            <w:tcW w:w="2793" w:type="dxa"/>
            <w:shd w:val="clear" w:color="auto" w:fill="FFFFFF"/>
            <w:vAlign w:val="center"/>
          </w:tcPr>
          <w:p w14:paraId="71D4A488">
            <w:pPr>
              <w:pStyle w:val="121"/>
              <w:rPr>
                <w:highlight w:val="none"/>
              </w:rPr>
            </w:pPr>
            <w:r>
              <w:rPr>
                <w:highlight w:val="none"/>
              </w:rPr>
              <w:t>装机功率</w:t>
            </w:r>
          </w:p>
        </w:tc>
        <w:tc>
          <w:tcPr>
            <w:tcW w:w="4208" w:type="dxa"/>
            <w:shd w:val="clear" w:color="auto" w:fill="FFFFFF"/>
            <w:vAlign w:val="center"/>
          </w:tcPr>
          <w:p w14:paraId="02180323">
            <w:pPr>
              <w:pStyle w:val="121"/>
              <w:rPr>
                <w:highlight w:val="none"/>
              </w:rPr>
            </w:pPr>
            <w:r>
              <w:rPr>
                <w:highlight w:val="none"/>
              </w:rPr>
              <w:t>90kw*2</w:t>
            </w:r>
          </w:p>
        </w:tc>
      </w:tr>
    </w:tbl>
    <w:p w14:paraId="7F9E418D">
      <w:pPr>
        <w:pStyle w:val="103"/>
        <w:numPr>
          <w:ilvl w:val="2"/>
          <w:numId w:val="0"/>
        </w:numPr>
        <w:ind w:firstLine="426"/>
        <w:rPr>
          <w:highlight w:val="none"/>
        </w:rPr>
      </w:pPr>
      <w:r>
        <w:rPr>
          <w:rFonts w:hint="eastAsia"/>
          <w:highlight w:val="none"/>
        </w:rPr>
        <w:t>7.3磁选机</w:t>
      </w:r>
    </w:p>
    <w:p w14:paraId="5D05EFF3">
      <w:pPr>
        <w:ind w:firstLine="480"/>
        <w:rPr>
          <w:rFonts w:ascii="宋体" w:hAnsi="宋体"/>
          <w:highlight w:val="none"/>
        </w:rPr>
      </w:pPr>
      <w:r>
        <w:rPr>
          <w:rFonts w:hint="eastAsia" w:ascii="宋体" w:hAnsi="宋体"/>
          <w:highlight w:val="none"/>
        </w:rPr>
        <w:t>7.3.1大件园林垃圾经过破碎之后，物料首先经过磁选，将其中铁金属回收出来，一方面可以回收资源，另一方面减轻铁金属对后续的设备的磨损，同时也可以保证建材骨料的纯度和建材质量。</w:t>
      </w:r>
    </w:p>
    <w:p w14:paraId="0C867D48">
      <w:pPr>
        <w:pStyle w:val="95"/>
        <w:numPr>
          <w:ilvl w:val="3"/>
          <w:numId w:val="0"/>
        </w:numPr>
        <w:rPr>
          <w:highlight w:val="none"/>
        </w:rPr>
      </w:pPr>
      <w:r>
        <w:rPr>
          <w:highlight w:val="none"/>
        </w:rPr>
        <w:t>表7-3</w:t>
      </w:r>
      <w:r>
        <w:rPr>
          <w:rFonts w:hint="eastAsia"/>
          <w:highlight w:val="none"/>
        </w:rPr>
        <w:t>主要技术参数</w:t>
      </w:r>
    </w:p>
    <w:tbl>
      <w:tblPr>
        <w:tblStyle w:val="42"/>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759"/>
        <w:gridCol w:w="4798"/>
      </w:tblGrid>
      <w:tr w14:paraId="4E81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841" w:type="dxa"/>
            <w:shd w:val="clear" w:color="auto" w:fill="FFFFFF"/>
            <w:vAlign w:val="center"/>
          </w:tcPr>
          <w:p w14:paraId="0260EB24">
            <w:pPr>
              <w:pStyle w:val="121"/>
              <w:rPr>
                <w:rFonts w:cs="等线"/>
                <w:highlight w:val="none"/>
              </w:rPr>
            </w:pPr>
            <w:r>
              <w:rPr>
                <w:rFonts w:cs="等线"/>
                <w:highlight w:val="none"/>
              </w:rPr>
              <w:t>序号</w:t>
            </w:r>
          </w:p>
        </w:tc>
        <w:tc>
          <w:tcPr>
            <w:tcW w:w="2759" w:type="dxa"/>
            <w:shd w:val="clear" w:color="auto" w:fill="FFFFFF"/>
            <w:vAlign w:val="center"/>
          </w:tcPr>
          <w:p w14:paraId="55F9DA51">
            <w:pPr>
              <w:pStyle w:val="121"/>
              <w:rPr>
                <w:rFonts w:cs="等线"/>
                <w:highlight w:val="none"/>
              </w:rPr>
            </w:pPr>
            <w:r>
              <w:rPr>
                <w:rFonts w:cs="等线"/>
                <w:highlight w:val="none"/>
              </w:rPr>
              <w:t>性能名称</w:t>
            </w:r>
          </w:p>
        </w:tc>
        <w:tc>
          <w:tcPr>
            <w:tcW w:w="4798" w:type="dxa"/>
            <w:shd w:val="clear" w:color="auto" w:fill="FFFFFF"/>
            <w:vAlign w:val="center"/>
          </w:tcPr>
          <w:p w14:paraId="50D0DD37">
            <w:pPr>
              <w:pStyle w:val="121"/>
              <w:rPr>
                <w:rFonts w:cs="等线"/>
                <w:highlight w:val="none"/>
              </w:rPr>
            </w:pPr>
            <w:r>
              <w:rPr>
                <w:rFonts w:cs="等线"/>
                <w:highlight w:val="none"/>
              </w:rPr>
              <w:t>技术参数</w:t>
            </w:r>
          </w:p>
        </w:tc>
      </w:tr>
      <w:tr w14:paraId="0496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841" w:type="dxa"/>
            <w:shd w:val="clear" w:color="auto" w:fill="FFFFFF"/>
            <w:vAlign w:val="center"/>
          </w:tcPr>
          <w:p w14:paraId="11C8D220">
            <w:pPr>
              <w:pStyle w:val="121"/>
              <w:rPr>
                <w:rFonts w:cs="等线"/>
                <w:highlight w:val="none"/>
              </w:rPr>
            </w:pPr>
            <w:r>
              <w:rPr>
                <w:rFonts w:cs="等线"/>
                <w:highlight w:val="none"/>
              </w:rPr>
              <w:t>1</w:t>
            </w:r>
          </w:p>
        </w:tc>
        <w:tc>
          <w:tcPr>
            <w:tcW w:w="2759" w:type="dxa"/>
            <w:shd w:val="clear" w:color="auto" w:fill="FFFFFF"/>
            <w:vAlign w:val="center"/>
          </w:tcPr>
          <w:p w14:paraId="1F1E7A00">
            <w:pPr>
              <w:pStyle w:val="121"/>
              <w:rPr>
                <w:rFonts w:cs="等线"/>
                <w:highlight w:val="none"/>
              </w:rPr>
            </w:pPr>
            <w:r>
              <w:rPr>
                <w:rFonts w:cs="等线"/>
                <w:highlight w:val="none"/>
              </w:rPr>
              <w:t>类型</w:t>
            </w:r>
          </w:p>
        </w:tc>
        <w:tc>
          <w:tcPr>
            <w:tcW w:w="4798" w:type="dxa"/>
            <w:shd w:val="clear" w:color="auto" w:fill="FFFFFF"/>
            <w:vAlign w:val="center"/>
          </w:tcPr>
          <w:p w14:paraId="570BD6BD">
            <w:pPr>
              <w:pStyle w:val="121"/>
              <w:rPr>
                <w:rFonts w:cs="等线"/>
                <w:highlight w:val="none"/>
              </w:rPr>
            </w:pPr>
            <w:r>
              <w:rPr>
                <w:rFonts w:cs="等线"/>
                <w:highlight w:val="none"/>
              </w:rPr>
              <w:t>永磁自卸式磁选机</w:t>
            </w:r>
          </w:p>
        </w:tc>
      </w:tr>
      <w:tr w14:paraId="28F4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41" w:type="dxa"/>
            <w:shd w:val="clear" w:color="auto" w:fill="FFFFFF"/>
            <w:vAlign w:val="center"/>
          </w:tcPr>
          <w:p w14:paraId="035059BA">
            <w:pPr>
              <w:pStyle w:val="121"/>
              <w:rPr>
                <w:rFonts w:cs="等线"/>
                <w:highlight w:val="none"/>
              </w:rPr>
            </w:pPr>
            <w:r>
              <w:rPr>
                <w:rFonts w:cs="等线"/>
                <w:highlight w:val="none"/>
              </w:rPr>
              <w:t>2</w:t>
            </w:r>
          </w:p>
        </w:tc>
        <w:tc>
          <w:tcPr>
            <w:tcW w:w="2759" w:type="dxa"/>
            <w:shd w:val="clear" w:color="auto" w:fill="FFFFFF"/>
            <w:vAlign w:val="center"/>
          </w:tcPr>
          <w:p w14:paraId="5A27D285">
            <w:pPr>
              <w:pStyle w:val="121"/>
              <w:rPr>
                <w:rFonts w:cs="等线"/>
                <w:highlight w:val="none"/>
              </w:rPr>
            </w:pPr>
            <w:r>
              <w:rPr>
                <w:rFonts w:cs="等线"/>
                <w:highlight w:val="none"/>
              </w:rPr>
              <w:t>分选率</w:t>
            </w:r>
          </w:p>
        </w:tc>
        <w:tc>
          <w:tcPr>
            <w:tcW w:w="4798" w:type="dxa"/>
            <w:shd w:val="clear" w:color="auto" w:fill="FFFFFF"/>
            <w:vAlign w:val="center"/>
          </w:tcPr>
          <w:p w14:paraId="60D2DE90">
            <w:pPr>
              <w:pStyle w:val="121"/>
              <w:rPr>
                <w:rFonts w:cs="等线"/>
                <w:highlight w:val="none"/>
              </w:rPr>
            </w:pPr>
            <w:r>
              <w:rPr>
                <w:rFonts w:cs="等线"/>
                <w:highlight w:val="none"/>
              </w:rPr>
              <w:t>≥95%</w:t>
            </w:r>
          </w:p>
        </w:tc>
      </w:tr>
      <w:tr w14:paraId="1B59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41" w:type="dxa"/>
            <w:shd w:val="clear" w:color="auto" w:fill="FFFFFF"/>
            <w:vAlign w:val="center"/>
          </w:tcPr>
          <w:p w14:paraId="0E9F109B">
            <w:pPr>
              <w:pStyle w:val="121"/>
              <w:rPr>
                <w:rFonts w:cs="等线"/>
                <w:highlight w:val="none"/>
              </w:rPr>
            </w:pPr>
            <w:r>
              <w:rPr>
                <w:rFonts w:cs="等线"/>
                <w:highlight w:val="none"/>
              </w:rPr>
              <w:t>3</w:t>
            </w:r>
          </w:p>
        </w:tc>
        <w:tc>
          <w:tcPr>
            <w:tcW w:w="2759" w:type="dxa"/>
            <w:shd w:val="clear" w:color="auto" w:fill="FFFFFF"/>
            <w:vAlign w:val="center"/>
          </w:tcPr>
          <w:p w14:paraId="1107259A">
            <w:pPr>
              <w:pStyle w:val="121"/>
              <w:rPr>
                <w:rFonts w:cs="等线"/>
                <w:highlight w:val="none"/>
              </w:rPr>
            </w:pPr>
            <w:r>
              <w:rPr>
                <w:rFonts w:cs="等线"/>
                <w:highlight w:val="none"/>
              </w:rPr>
              <w:t>适应带宽</w:t>
            </w:r>
          </w:p>
        </w:tc>
        <w:tc>
          <w:tcPr>
            <w:tcW w:w="4798" w:type="dxa"/>
            <w:shd w:val="clear" w:color="auto" w:fill="FFFFFF"/>
            <w:vAlign w:val="center"/>
          </w:tcPr>
          <w:p w14:paraId="11345778">
            <w:pPr>
              <w:pStyle w:val="121"/>
              <w:rPr>
                <w:rFonts w:cs="等线"/>
                <w:highlight w:val="none"/>
              </w:rPr>
            </w:pPr>
            <w:r>
              <w:rPr>
                <w:rFonts w:cs="等线"/>
                <w:highlight w:val="none"/>
              </w:rPr>
              <w:t>根据皮带宽度确定</w:t>
            </w:r>
          </w:p>
        </w:tc>
      </w:tr>
      <w:tr w14:paraId="4215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41" w:type="dxa"/>
            <w:shd w:val="clear" w:color="auto" w:fill="FFFFFF"/>
            <w:vAlign w:val="center"/>
          </w:tcPr>
          <w:p w14:paraId="3CB956AE">
            <w:pPr>
              <w:pStyle w:val="121"/>
              <w:rPr>
                <w:rFonts w:cs="等线"/>
                <w:highlight w:val="none"/>
              </w:rPr>
            </w:pPr>
            <w:r>
              <w:rPr>
                <w:rFonts w:cs="等线"/>
                <w:highlight w:val="none"/>
              </w:rPr>
              <w:t>4</w:t>
            </w:r>
          </w:p>
        </w:tc>
        <w:tc>
          <w:tcPr>
            <w:tcW w:w="2759" w:type="dxa"/>
            <w:shd w:val="clear" w:color="auto" w:fill="FFFFFF"/>
            <w:vAlign w:val="center"/>
          </w:tcPr>
          <w:p w14:paraId="3F0C5ABD">
            <w:pPr>
              <w:pStyle w:val="121"/>
              <w:rPr>
                <w:rFonts w:cs="等线"/>
                <w:highlight w:val="none"/>
              </w:rPr>
            </w:pPr>
            <w:r>
              <w:rPr>
                <w:rFonts w:cs="等线"/>
                <w:highlight w:val="none"/>
              </w:rPr>
              <w:t>磁场强度</w:t>
            </w:r>
          </w:p>
        </w:tc>
        <w:tc>
          <w:tcPr>
            <w:tcW w:w="4798" w:type="dxa"/>
            <w:shd w:val="clear" w:color="auto" w:fill="FFFFFF"/>
            <w:vAlign w:val="center"/>
          </w:tcPr>
          <w:p w14:paraId="15276938">
            <w:pPr>
              <w:pStyle w:val="121"/>
              <w:rPr>
                <w:rFonts w:cs="等线"/>
                <w:highlight w:val="none"/>
              </w:rPr>
            </w:pPr>
            <w:r>
              <w:rPr>
                <w:rFonts w:cs="等线"/>
                <w:highlight w:val="none"/>
              </w:rPr>
              <w:t>≥900Gs</w:t>
            </w:r>
          </w:p>
        </w:tc>
      </w:tr>
      <w:tr w14:paraId="3BE4A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841" w:type="dxa"/>
            <w:shd w:val="clear" w:color="auto" w:fill="FFFFFF"/>
            <w:vAlign w:val="center"/>
          </w:tcPr>
          <w:p w14:paraId="61E969BF">
            <w:pPr>
              <w:pStyle w:val="121"/>
              <w:rPr>
                <w:rFonts w:cs="等线"/>
                <w:highlight w:val="none"/>
              </w:rPr>
            </w:pPr>
            <w:r>
              <w:rPr>
                <w:rFonts w:cs="等线"/>
                <w:highlight w:val="none"/>
              </w:rPr>
              <w:t>5</w:t>
            </w:r>
          </w:p>
        </w:tc>
        <w:tc>
          <w:tcPr>
            <w:tcW w:w="2759" w:type="dxa"/>
            <w:shd w:val="clear" w:color="auto" w:fill="FFFFFF"/>
            <w:vAlign w:val="center"/>
          </w:tcPr>
          <w:p w14:paraId="139AFADF">
            <w:pPr>
              <w:pStyle w:val="121"/>
              <w:rPr>
                <w:rFonts w:cs="等线"/>
                <w:highlight w:val="none"/>
              </w:rPr>
            </w:pPr>
            <w:r>
              <w:rPr>
                <w:rFonts w:cs="等线"/>
                <w:highlight w:val="none"/>
              </w:rPr>
              <w:t>额定悬挂高度</w:t>
            </w:r>
          </w:p>
        </w:tc>
        <w:tc>
          <w:tcPr>
            <w:tcW w:w="4798" w:type="dxa"/>
            <w:shd w:val="clear" w:color="auto" w:fill="FFFFFF"/>
            <w:vAlign w:val="center"/>
          </w:tcPr>
          <w:p w14:paraId="0530CFBD">
            <w:pPr>
              <w:pStyle w:val="121"/>
              <w:rPr>
                <w:rFonts w:cs="等线"/>
                <w:highlight w:val="none"/>
              </w:rPr>
            </w:pPr>
            <w:r>
              <w:rPr>
                <w:rFonts w:cs="等线"/>
                <w:highlight w:val="none"/>
              </w:rPr>
              <w:t>250mm</w:t>
            </w:r>
          </w:p>
        </w:tc>
      </w:tr>
      <w:tr w14:paraId="4D5D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41" w:type="dxa"/>
            <w:shd w:val="clear" w:color="auto" w:fill="FFFFFF"/>
            <w:vAlign w:val="center"/>
          </w:tcPr>
          <w:p w14:paraId="643A7A7A">
            <w:pPr>
              <w:pStyle w:val="121"/>
              <w:rPr>
                <w:rFonts w:cs="等线"/>
                <w:highlight w:val="none"/>
              </w:rPr>
            </w:pPr>
            <w:r>
              <w:rPr>
                <w:rFonts w:cs="等线"/>
                <w:highlight w:val="none"/>
              </w:rPr>
              <w:t>6</w:t>
            </w:r>
          </w:p>
        </w:tc>
        <w:tc>
          <w:tcPr>
            <w:tcW w:w="2759" w:type="dxa"/>
            <w:shd w:val="clear" w:color="auto" w:fill="FFFFFF"/>
            <w:vAlign w:val="center"/>
          </w:tcPr>
          <w:p w14:paraId="2326F737">
            <w:pPr>
              <w:pStyle w:val="121"/>
              <w:rPr>
                <w:rFonts w:cs="等线"/>
                <w:highlight w:val="none"/>
              </w:rPr>
            </w:pPr>
            <w:r>
              <w:rPr>
                <w:rFonts w:cs="等线"/>
                <w:highlight w:val="none"/>
              </w:rPr>
              <w:t>电源</w:t>
            </w:r>
          </w:p>
        </w:tc>
        <w:tc>
          <w:tcPr>
            <w:tcW w:w="4798" w:type="dxa"/>
            <w:shd w:val="clear" w:color="auto" w:fill="FFFFFF"/>
            <w:vAlign w:val="center"/>
          </w:tcPr>
          <w:p w14:paraId="6E67B407">
            <w:pPr>
              <w:pStyle w:val="121"/>
              <w:rPr>
                <w:rFonts w:cs="等线"/>
                <w:highlight w:val="none"/>
              </w:rPr>
            </w:pPr>
            <w:r>
              <w:rPr>
                <w:rFonts w:cs="等线"/>
                <w:highlight w:val="none"/>
              </w:rPr>
              <w:t>380V/50Hz/3相5线制</w:t>
            </w:r>
          </w:p>
        </w:tc>
      </w:tr>
      <w:tr w14:paraId="1B30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841" w:type="dxa"/>
            <w:shd w:val="clear" w:color="auto" w:fill="FFFFFF"/>
            <w:vAlign w:val="center"/>
          </w:tcPr>
          <w:p w14:paraId="051D9DC1">
            <w:pPr>
              <w:pStyle w:val="121"/>
              <w:rPr>
                <w:rFonts w:cs="等线"/>
                <w:highlight w:val="none"/>
              </w:rPr>
            </w:pPr>
            <w:r>
              <w:rPr>
                <w:rFonts w:cs="等线"/>
                <w:highlight w:val="none"/>
              </w:rPr>
              <w:t>7</w:t>
            </w:r>
          </w:p>
        </w:tc>
        <w:tc>
          <w:tcPr>
            <w:tcW w:w="2759" w:type="dxa"/>
            <w:shd w:val="clear" w:color="auto" w:fill="FFFFFF"/>
            <w:vAlign w:val="center"/>
          </w:tcPr>
          <w:p w14:paraId="5DEAE454">
            <w:pPr>
              <w:pStyle w:val="121"/>
              <w:rPr>
                <w:rFonts w:cs="等线"/>
                <w:highlight w:val="none"/>
              </w:rPr>
            </w:pPr>
            <w:r>
              <w:rPr>
                <w:rFonts w:cs="等线"/>
                <w:highlight w:val="none"/>
              </w:rPr>
              <w:t>装机功率</w:t>
            </w:r>
          </w:p>
        </w:tc>
        <w:tc>
          <w:tcPr>
            <w:tcW w:w="4798" w:type="dxa"/>
            <w:shd w:val="clear" w:color="auto" w:fill="FFFFFF"/>
            <w:vAlign w:val="center"/>
          </w:tcPr>
          <w:p w14:paraId="39676B7C">
            <w:pPr>
              <w:pStyle w:val="121"/>
              <w:rPr>
                <w:rFonts w:cs="等线"/>
                <w:highlight w:val="none"/>
              </w:rPr>
            </w:pPr>
            <w:r>
              <w:rPr>
                <w:rFonts w:hint="eastAsia" w:cs="等线"/>
                <w:highlight w:val="none"/>
              </w:rPr>
              <w:t>4</w:t>
            </w:r>
            <w:r>
              <w:rPr>
                <w:rFonts w:cs="等线"/>
                <w:highlight w:val="none"/>
              </w:rPr>
              <w:t>kw</w:t>
            </w:r>
          </w:p>
        </w:tc>
      </w:tr>
    </w:tbl>
    <w:p w14:paraId="4951E4CC">
      <w:pPr>
        <w:pStyle w:val="103"/>
        <w:numPr>
          <w:ilvl w:val="2"/>
          <w:numId w:val="0"/>
        </w:numPr>
        <w:ind w:firstLine="426"/>
        <w:rPr>
          <w:highlight w:val="none"/>
        </w:rPr>
      </w:pPr>
      <w:r>
        <w:rPr>
          <w:rFonts w:hint="eastAsia"/>
          <w:highlight w:val="none"/>
        </w:rPr>
        <w:t>7.4皮带输送机</w:t>
      </w:r>
    </w:p>
    <w:p w14:paraId="176AFD88">
      <w:pPr>
        <w:ind w:firstLine="480"/>
        <w:rPr>
          <w:rFonts w:ascii="宋体" w:hAnsi="宋体"/>
          <w:highlight w:val="none"/>
        </w:rPr>
      </w:pPr>
      <w:r>
        <w:rPr>
          <w:rFonts w:hint="eastAsia" w:ascii="宋体" w:hAnsi="宋体"/>
          <w:highlight w:val="none"/>
        </w:rPr>
        <w:t>7.4.1托辊带式输送机用于物料的输送转运。驱动系统采用空心轴减速电机，具有结构紧凑，性能可靠，重量轻、维修方便等特点；胶带采用</w:t>
      </w:r>
      <w:r>
        <w:rPr>
          <w:rFonts w:hint="eastAsia"/>
          <w:highlight w:val="none"/>
        </w:rPr>
        <w:t>EP</w:t>
      </w:r>
      <w:r>
        <w:rPr>
          <w:rFonts w:hint="eastAsia" w:ascii="宋体" w:hAnsi="宋体"/>
          <w:highlight w:val="none"/>
        </w:rPr>
        <w:t>系列耐油耐酸碱胶带；本输送机两侧均与输送带间加密封板，底部采用接料板接料，防止输送中漏料、撒料；输送机中间机架采用槽钢焊接机构，强度刚度高；输送机设有安全拉绳开关，充分保护操作人员的安全。</w:t>
      </w:r>
    </w:p>
    <w:p w14:paraId="6D36B560">
      <w:pPr>
        <w:ind w:firstLine="480"/>
        <w:rPr>
          <w:rFonts w:ascii="宋体" w:hAnsi="宋体"/>
          <w:szCs w:val="28"/>
          <w:highlight w:val="none"/>
        </w:rPr>
      </w:pPr>
      <w:r>
        <w:rPr>
          <w:rFonts w:hint="eastAsia" w:ascii="宋体" w:hAnsi="宋体"/>
          <w:highlight w:val="none"/>
        </w:rPr>
        <w:t xml:space="preserve">7.4.2皮带输送设备整机承载、输送能力与工艺位置负荷相匹配，在满负荷和超载 </w:t>
      </w:r>
      <w:r>
        <w:rPr>
          <w:rFonts w:hint="eastAsia"/>
          <w:highlight w:val="none"/>
        </w:rPr>
        <w:t>15%</w:t>
      </w:r>
      <w:r>
        <w:rPr>
          <w:rFonts w:hint="eastAsia" w:ascii="宋体" w:hAnsi="宋体"/>
          <w:highlight w:val="none"/>
        </w:rPr>
        <w:t>条件下能正常起动运行。皮带输送设备整体具应有足够的强度和刚度，保证设备的抗变形和稳定性能，带式输送机机架钢制构件设计，应具备足够的强度和刚度，以防止在承受静、动工作载荷时出现变形、失稳或损坏的情况。</w:t>
      </w:r>
    </w:p>
    <w:p w14:paraId="6B240591">
      <w:pPr>
        <w:ind w:firstLine="480"/>
        <w:rPr>
          <w:rFonts w:ascii="宋体" w:hAnsi="宋体"/>
          <w:highlight w:val="none"/>
        </w:rPr>
      </w:pPr>
      <w:r>
        <w:rPr>
          <w:rFonts w:hint="eastAsia" w:ascii="宋体" w:hAnsi="宋体"/>
          <w:highlight w:val="none"/>
        </w:rPr>
        <w:t>7.4.3驱动筒体采用厚壁无缝钢管与腹板焊接结构，上料输送机上托辊采用前倾“</w:t>
      </w:r>
      <w:r>
        <w:rPr>
          <w:rFonts w:hint="eastAsia"/>
          <w:highlight w:val="none"/>
        </w:rPr>
        <w:t>V</w:t>
      </w:r>
      <w:r>
        <w:rPr>
          <w:rFonts w:hint="eastAsia" w:ascii="宋体" w:hAnsi="宋体"/>
          <w:highlight w:val="none"/>
        </w:rPr>
        <w:t>”形托辊，托辊为冷冲压轴承座，选用托辊专用钢管、轴承及密封。</w:t>
      </w:r>
    </w:p>
    <w:p w14:paraId="32788C10">
      <w:pPr>
        <w:ind w:firstLine="480"/>
        <w:rPr>
          <w:rFonts w:ascii="宋体" w:hAnsi="宋体"/>
          <w:highlight w:val="none"/>
        </w:rPr>
      </w:pPr>
      <w:r>
        <w:rPr>
          <w:rFonts w:hint="eastAsia" w:ascii="宋体" w:hAnsi="宋体"/>
          <w:highlight w:val="none"/>
        </w:rPr>
        <w:t>7.4.4皮带输送设备设置物料清扫装置，确保能有效清理输送带表面黏附的物料。须设置防跑偏装置。</w:t>
      </w:r>
    </w:p>
    <w:p w14:paraId="7E85B608">
      <w:pPr>
        <w:ind w:firstLine="480"/>
        <w:rPr>
          <w:rFonts w:ascii="宋体" w:hAnsi="宋体"/>
          <w:highlight w:val="none"/>
        </w:rPr>
      </w:pPr>
      <w:r>
        <w:rPr>
          <w:rFonts w:hint="eastAsia" w:ascii="宋体" w:hAnsi="宋体"/>
          <w:highlight w:val="none"/>
        </w:rPr>
        <w:t xml:space="preserve">7.4.5皮带输送设备尾部采用带 </w:t>
      </w:r>
      <w:r>
        <w:rPr>
          <w:rFonts w:hint="eastAsia"/>
          <w:highlight w:val="none"/>
        </w:rPr>
        <w:t xml:space="preserve">UCT </w:t>
      </w:r>
      <w:r>
        <w:rPr>
          <w:rFonts w:hint="eastAsia" w:ascii="宋体" w:hAnsi="宋体"/>
          <w:highlight w:val="none"/>
        </w:rPr>
        <w:t>螺旋拉紧轴承的张紧装置，用于调整输送带的松紧度；皮带两侧应设有紧停拉绳开关。</w:t>
      </w:r>
    </w:p>
    <w:p w14:paraId="0A504898">
      <w:pPr>
        <w:ind w:firstLine="480"/>
        <w:rPr>
          <w:rFonts w:ascii="宋体" w:hAnsi="宋体"/>
          <w:highlight w:val="none"/>
        </w:rPr>
      </w:pPr>
      <w:r>
        <w:rPr>
          <w:rFonts w:hint="eastAsia" w:ascii="宋体" w:hAnsi="宋体"/>
          <w:highlight w:val="none"/>
        </w:rPr>
        <w:t xml:space="preserve">7.4.6皮带输送设备非防腐性材料应做除锈处理，除锈质量等级不低于当采用喷砂除锈时要求达到 </w:t>
      </w:r>
      <w:r>
        <w:rPr>
          <w:rFonts w:hint="eastAsia"/>
          <w:highlight w:val="none"/>
        </w:rPr>
        <w:t xml:space="preserve">Sa2.5 </w:t>
      </w:r>
      <w:r>
        <w:rPr>
          <w:rFonts w:hint="eastAsia" w:ascii="宋体" w:hAnsi="宋体"/>
          <w:highlight w:val="none"/>
        </w:rPr>
        <w:t xml:space="preserve">标准，采用手工除锈时达到 </w:t>
      </w:r>
      <w:r>
        <w:rPr>
          <w:rFonts w:hint="eastAsia"/>
          <w:highlight w:val="none"/>
        </w:rPr>
        <w:t xml:space="preserve">St3.0 </w:t>
      </w:r>
      <w:r>
        <w:rPr>
          <w:rFonts w:hint="eastAsia" w:ascii="宋体" w:hAnsi="宋体"/>
          <w:highlight w:val="none"/>
        </w:rPr>
        <w:t xml:space="preserve">标准。设备防腐材料采用涂环氧富锌底漆和聚氨酯面漆，喷漆后 表面漆膜均匀细致，光亮完整，色泽一致，总厚度不低于 </w:t>
      </w:r>
      <w:r>
        <w:rPr>
          <w:rFonts w:hint="eastAsia"/>
          <w:highlight w:val="none"/>
        </w:rPr>
        <w:t>200</w:t>
      </w:r>
      <w:r>
        <w:rPr>
          <w:rFonts w:hint="eastAsia" w:ascii="宋体" w:hAnsi="宋体"/>
          <w:highlight w:val="none"/>
        </w:rPr>
        <w:t>μ</w:t>
      </w:r>
      <w:r>
        <w:rPr>
          <w:rFonts w:hint="eastAsia"/>
          <w:highlight w:val="none"/>
        </w:rPr>
        <w:t>m;</w:t>
      </w:r>
      <w:r>
        <w:rPr>
          <w:rFonts w:hint="eastAsia" w:ascii="宋体" w:hAnsi="宋体"/>
          <w:highlight w:val="none"/>
        </w:rPr>
        <w:t xml:space="preserve">漆膜附着力满足垃圾处理特殊环境长期防腐要求。 </w:t>
      </w:r>
    </w:p>
    <w:p w14:paraId="0DCC133F">
      <w:pPr>
        <w:ind w:firstLine="480"/>
        <w:rPr>
          <w:rFonts w:ascii="宋体" w:hAnsi="宋体"/>
          <w:szCs w:val="24"/>
          <w:highlight w:val="none"/>
        </w:rPr>
      </w:pPr>
      <w:r>
        <w:rPr>
          <w:rFonts w:hint="eastAsia" w:ascii="宋体" w:hAnsi="宋体"/>
          <w:highlight w:val="none"/>
        </w:rPr>
        <w:t xml:space="preserve">7.4.7皮带输送设备驱动滚筒采用厚壁无缝钢管整体焊接结构，滚筒整体焊后应进行应力消除处理 ， 滚筒外部采用高磨耗阻燃耐油耐酸菱型冷粘胶面。采用国内知名耐油耐酸碱 </w:t>
      </w:r>
      <w:r>
        <w:rPr>
          <w:rFonts w:hint="eastAsia"/>
          <w:highlight w:val="none"/>
        </w:rPr>
        <w:t xml:space="preserve">EP200 </w:t>
      </w:r>
      <w:r>
        <w:rPr>
          <w:rFonts w:hint="eastAsia" w:ascii="宋体" w:hAnsi="宋体"/>
          <w:highlight w:val="none"/>
        </w:rPr>
        <w:t xml:space="preserve">聚酯芯胶带。 </w:t>
      </w:r>
    </w:p>
    <w:p w14:paraId="515E5BB4">
      <w:pPr>
        <w:pStyle w:val="103"/>
        <w:numPr>
          <w:ilvl w:val="2"/>
          <w:numId w:val="0"/>
        </w:numPr>
        <w:ind w:firstLine="426"/>
        <w:rPr>
          <w:highlight w:val="none"/>
        </w:rPr>
      </w:pPr>
      <w:r>
        <w:rPr>
          <w:rFonts w:hint="eastAsia"/>
          <w:highlight w:val="none"/>
        </w:rPr>
        <w:t>7.5袋式除尘器</w:t>
      </w:r>
    </w:p>
    <w:p w14:paraId="50C28802">
      <w:pPr>
        <w:pStyle w:val="95"/>
        <w:numPr>
          <w:ilvl w:val="3"/>
          <w:numId w:val="0"/>
        </w:numPr>
        <w:ind w:firstLine="289"/>
        <w:rPr>
          <w:highlight w:val="none"/>
        </w:rPr>
      </w:pPr>
      <w:r>
        <w:rPr>
          <w:highlight w:val="none"/>
        </w:rPr>
        <w:t>表2.7-4</w:t>
      </w:r>
      <w:r>
        <w:rPr>
          <w:rFonts w:hint="eastAsia"/>
          <w:highlight w:val="none"/>
        </w:rPr>
        <w:t>技术参数</w:t>
      </w:r>
    </w:p>
    <w:tbl>
      <w:tblPr>
        <w:tblStyle w:val="42"/>
        <w:tblW w:w="8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527"/>
        <w:gridCol w:w="5986"/>
      </w:tblGrid>
      <w:tr w14:paraId="27E3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916" w:type="dxa"/>
            <w:shd w:val="clear" w:color="auto" w:fill="FFFFFF"/>
            <w:vAlign w:val="center"/>
          </w:tcPr>
          <w:p w14:paraId="6F368769">
            <w:pPr>
              <w:pStyle w:val="121"/>
              <w:rPr>
                <w:highlight w:val="none"/>
              </w:rPr>
            </w:pPr>
            <w:r>
              <w:rPr>
                <w:highlight w:val="none"/>
              </w:rPr>
              <w:t>序号</w:t>
            </w:r>
          </w:p>
        </w:tc>
        <w:tc>
          <w:tcPr>
            <w:tcW w:w="1527" w:type="dxa"/>
            <w:shd w:val="clear" w:color="auto" w:fill="FFFFFF"/>
            <w:vAlign w:val="center"/>
          </w:tcPr>
          <w:p w14:paraId="15ED6765">
            <w:pPr>
              <w:pStyle w:val="121"/>
              <w:rPr>
                <w:highlight w:val="none"/>
              </w:rPr>
            </w:pPr>
            <w:r>
              <w:rPr>
                <w:highlight w:val="none"/>
              </w:rPr>
              <w:t>性能名称</w:t>
            </w:r>
          </w:p>
        </w:tc>
        <w:tc>
          <w:tcPr>
            <w:tcW w:w="5986" w:type="dxa"/>
            <w:shd w:val="clear" w:color="auto" w:fill="FFFFFF"/>
            <w:vAlign w:val="center"/>
          </w:tcPr>
          <w:p w14:paraId="1FD9DD63">
            <w:pPr>
              <w:pStyle w:val="121"/>
              <w:rPr>
                <w:highlight w:val="none"/>
              </w:rPr>
            </w:pPr>
            <w:r>
              <w:rPr>
                <w:highlight w:val="none"/>
              </w:rPr>
              <w:t>技术参数</w:t>
            </w:r>
          </w:p>
        </w:tc>
      </w:tr>
      <w:tr w14:paraId="3237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916" w:type="dxa"/>
            <w:shd w:val="clear" w:color="auto" w:fill="FFFFFF"/>
            <w:vAlign w:val="center"/>
          </w:tcPr>
          <w:p w14:paraId="05C35783">
            <w:pPr>
              <w:pStyle w:val="121"/>
              <w:rPr>
                <w:highlight w:val="none"/>
              </w:rPr>
            </w:pPr>
            <w:r>
              <w:rPr>
                <w:highlight w:val="none"/>
              </w:rPr>
              <w:t>1</w:t>
            </w:r>
          </w:p>
        </w:tc>
        <w:tc>
          <w:tcPr>
            <w:tcW w:w="1527" w:type="dxa"/>
            <w:shd w:val="clear" w:color="auto" w:fill="FFFFFF"/>
            <w:vAlign w:val="center"/>
          </w:tcPr>
          <w:p w14:paraId="1812F751">
            <w:pPr>
              <w:pStyle w:val="121"/>
              <w:rPr>
                <w:highlight w:val="none"/>
              </w:rPr>
            </w:pPr>
            <w:r>
              <w:rPr>
                <w:highlight w:val="none"/>
              </w:rPr>
              <w:t>处理物料</w:t>
            </w:r>
          </w:p>
        </w:tc>
        <w:tc>
          <w:tcPr>
            <w:tcW w:w="5986" w:type="dxa"/>
            <w:shd w:val="clear" w:color="auto" w:fill="FFFFFF"/>
            <w:vAlign w:val="center"/>
          </w:tcPr>
          <w:p w14:paraId="2257E456">
            <w:pPr>
              <w:pStyle w:val="121"/>
              <w:rPr>
                <w:highlight w:val="none"/>
              </w:rPr>
            </w:pPr>
            <w:r>
              <w:rPr>
                <w:highlight w:val="none"/>
              </w:rPr>
              <w:t>大件、园林垃圾系统中粉尘</w:t>
            </w:r>
          </w:p>
        </w:tc>
      </w:tr>
      <w:tr w14:paraId="3863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916" w:type="dxa"/>
            <w:shd w:val="clear" w:color="auto" w:fill="FFFFFF"/>
            <w:vAlign w:val="center"/>
          </w:tcPr>
          <w:p w14:paraId="4D5CEB51">
            <w:pPr>
              <w:pStyle w:val="121"/>
              <w:rPr>
                <w:highlight w:val="none"/>
              </w:rPr>
            </w:pPr>
            <w:r>
              <w:rPr>
                <w:highlight w:val="none"/>
              </w:rPr>
              <w:t>2</w:t>
            </w:r>
          </w:p>
        </w:tc>
        <w:tc>
          <w:tcPr>
            <w:tcW w:w="1527" w:type="dxa"/>
            <w:shd w:val="clear" w:color="auto" w:fill="FFFFFF"/>
            <w:vAlign w:val="center"/>
          </w:tcPr>
          <w:p w14:paraId="607C4D1F">
            <w:pPr>
              <w:pStyle w:val="121"/>
              <w:rPr>
                <w:highlight w:val="none"/>
              </w:rPr>
            </w:pPr>
            <w:r>
              <w:rPr>
                <w:highlight w:val="none"/>
              </w:rPr>
              <w:t>设置风量</w:t>
            </w:r>
          </w:p>
        </w:tc>
        <w:tc>
          <w:tcPr>
            <w:tcW w:w="5986" w:type="dxa"/>
            <w:shd w:val="clear" w:color="auto" w:fill="FFFFFF"/>
            <w:vAlign w:val="center"/>
          </w:tcPr>
          <w:p w14:paraId="40E771DC">
            <w:pPr>
              <w:pStyle w:val="121"/>
              <w:rPr>
                <w:highlight w:val="none"/>
              </w:rPr>
            </w:pPr>
            <w:r>
              <w:rPr>
                <w:highlight w:val="none"/>
              </w:rPr>
              <w:t>5000</w:t>
            </w:r>
            <w:r>
              <w:rPr>
                <w:rFonts w:hint="eastAsia"/>
                <w:highlight w:val="none"/>
              </w:rPr>
              <w:t>-10000</w:t>
            </w:r>
            <w:r>
              <w:rPr>
                <w:highlight w:val="none"/>
              </w:rPr>
              <w:t>m³/h</w:t>
            </w:r>
          </w:p>
        </w:tc>
      </w:tr>
      <w:tr w14:paraId="5BE2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916" w:type="dxa"/>
            <w:shd w:val="clear" w:color="auto" w:fill="FFFFFF"/>
            <w:vAlign w:val="center"/>
          </w:tcPr>
          <w:p w14:paraId="7AAF4E4F">
            <w:pPr>
              <w:pStyle w:val="121"/>
              <w:rPr>
                <w:highlight w:val="none"/>
              </w:rPr>
            </w:pPr>
            <w:r>
              <w:rPr>
                <w:highlight w:val="none"/>
              </w:rPr>
              <w:t>3</w:t>
            </w:r>
          </w:p>
        </w:tc>
        <w:tc>
          <w:tcPr>
            <w:tcW w:w="1527" w:type="dxa"/>
            <w:shd w:val="clear" w:color="auto" w:fill="FFFFFF"/>
            <w:vAlign w:val="center"/>
          </w:tcPr>
          <w:p w14:paraId="71CBD0AA">
            <w:pPr>
              <w:pStyle w:val="121"/>
              <w:rPr>
                <w:highlight w:val="none"/>
              </w:rPr>
            </w:pPr>
            <w:r>
              <w:rPr>
                <w:highlight w:val="none"/>
              </w:rPr>
              <w:t>数量</w:t>
            </w:r>
          </w:p>
        </w:tc>
        <w:tc>
          <w:tcPr>
            <w:tcW w:w="5986" w:type="dxa"/>
            <w:shd w:val="clear" w:color="auto" w:fill="FFFFFF"/>
            <w:vAlign w:val="center"/>
          </w:tcPr>
          <w:p w14:paraId="2573899E">
            <w:pPr>
              <w:pStyle w:val="121"/>
              <w:rPr>
                <w:highlight w:val="none"/>
              </w:rPr>
            </w:pPr>
            <w:r>
              <w:rPr>
                <w:highlight w:val="none"/>
              </w:rPr>
              <w:t>1台</w:t>
            </w:r>
          </w:p>
        </w:tc>
      </w:tr>
      <w:tr w14:paraId="6188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916" w:type="dxa"/>
            <w:shd w:val="clear" w:color="auto" w:fill="FFFFFF"/>
            <w:vAlign w:val="center"/>
          </w:tcPr>
          <w:p w14:paraId="51882167">
            <w:pPr>
              <w:pStyle w:val="121"/>
              <w:rPr>
                <w:highlight w:val="none"/>
              </w:rPr>
            </w:pPr>
            <w:r>
              <w:rPr>
                <w:highlight w:val="none"/>
              </w:rPr>
              <w:t>4</w:t>
            </w:r>
          </w:p>
        </w:tc>
        <w:tc>
          <w:tcPr>
            <w:tcW w:w="1527" w:type="dxa"/>
            <w:shd w:val="clear" w:color="auto" w:fill="FFFFFF"/>
            <w:vAlign w:val="center"/>
          </w:tcPr>
          <w:p w14:paraId="4BB5D5BC">
            <w:pPr>
              <w:pStyle w:val="121"/>
              <w:rPr>
                <w:highlight w:val="none"/>
              </w:rPr>
            </w:pPr>
            <w:r>
              <w:rPr>
                <w:highlight w:val="none"/>
              </w:rPr>
              <w:t>电源</w:t>
            </w:r>
          </w:p>
        </w:tc>
        <w:tc>
          <w:tcPr>
            <w:tcW w:w="5986" w:type="dxa"/>
            <w:shd w:val="clear" w:color="auto" w:fill="FFFFFF"/>
            <w:vAlign w:val="center"/>
          </w:tcPr>
          <w:p w14:paraId="0113DC2D">
            <w:pPr>
              <w:pStyle w:val="121"/>
              <w:rPr>
                <w:highlight w:val="none"/>
              </w:rPr>
            </w:pPr>
            <w:r>
              <w:rPr>
                <w:highlight w:val="none"/>
              </w:rPr>
              <w:t>380V/50Hz/3相5线制</w:t>
            </w:r>
          </w:p>
        </w:tc>
      </w:tr>
      <w:tr w14:paraId="4C0E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16" w:type="dxa"/>
            <w:shd w:val="clear" w:color="auto" w:fill="FFFFFF"/>
            <w:vAlign w:val="center"/>
          </w:tcPr>
          <w:p w14:paraId="7D0FCDBF">
            <w:pPr>
              <w:pStyle w:val="121"/>
              <w:rPr>
                <w:highlight w:val="none"/>
              </w:rPr>
            </w:pPr>
            <w:r>
              <w:rPr>
                <w:highlight w:val="none"/>
              </w:rPr>
              <w:t>5</w:t>
            </w:r>
          </w:p>
        </w:tc>
        <w:tc>
          <w:tcPr>
            <w:tcW w:w="1527" w:type="dxa"/>
            <w:shd w:val="clear" w:color="auto" w:fill="FFFFFF"/>
            <w:vAlign w:val="center"/>
          </w:tcPr>
          <w:p w14:paraId="54582E12">
            <w:pPr>
              <w:pStyle w:val="121"/>
              <w:rPr>
                <w:highlight w:val="none"/>
              </w:rPr>
            </w:pPr>
            <w:r>
              <w:rPr>
                <w:highlight w:val="none"/>
              </w:rPr>
              <w:t>装机功率</w:t>
            </w:r>
          </w:p>
        </w:tc>
        <w:tc>
          <w:tcPr>
            <w:tcW w:w="5986" w:type="dxa"/>
            <w:shd w:val="clear" w:color="auto" w:fill="FFFFFF"/>
            <w:vAlign w:val="center"/>
          </w:tcPr>
          <w:p w14:paraId="3DA3CEB6">
            <w:pPr>
              <w:pStyle w:val="121"/>
              <w:rPr>
                <w:highlight w:val="none"/>
              </w:rPr>
            </w:pPr>
            <w:r>
              <w:rPr>
                <w:highlight w:val="none"/>
              </w:rPr>
              <w:t>风机功率：</w:t>
            </w:r>
            <w:r>
              <w:rPr>
                <w:rFonts w:hint="eastAsia"/>
                <w:highlight w:val="none"/>
              </w:rPr>
              <w:t>10-15</w:t>
            </w:r>
            <w:r>
              <w:rPr>
                <w:highlight w:val="none"/>
              </w:rPr>
              <w:t>KW、出料绞龙功率：1KW、出料关风机功率：0.75KW</w:t>
            </w:r>
          </w:p>
          <w:p w14:paraId="14F8A7AC">
            <w:pPr>
              <w:pStyle w:val="121"/>
              <w:rPr>
                <w:highlight w:val="none"/>
              </w:rPr>
            </w:pPr>
            <w:r>
              <w:rPr>
                <w:rFonts w:hint="eastAsia"/>
                <w:highlight w:val="none"/>
              </w:rPr>
              <w:t>总功率17-23KW</w:t>
            </w:r>
          </w:p>
          <w:p w14:paraId="76F12753">
            <w:pPr>
              <w:pStyle w:val="121"/>
              <w:rPr>
                <w:highlight w:val="none"/>
              </w:rPr>
            </w:pPr>
            <w:r>
              <w:rPr>
                <w:rFonts w:hint="eastAsia"/>
                <w:highlight w:val="none"/>
              </w:rPr>
              <w:t>投标人提供根据风量、风压计算书确认风机功率，确保除尘效果</w:t>
            </w:r>
          </w:p>
        </w:tc>
      </w:tr>
    </w:tbl>
    <w:p w14:paraId="4173EAC8">
      <w:pPr>
        <w:ind w:firstLine="480"/>
        <w:rPr>
          <w:highlight w:val="none"/>
        </w:rPr>
      </w:pPr>
      <w:r>
        <w:rPr>
          <w:rFonts w:hint="eastAsia"/>
          <w:highlight w:val="none"/>
        </w:rPr>
        <w:t>7.5.1</w:t>
      </w:r>
      <w:r>
        <w:rPr>
          <w:rFonts w:hint="eastAsia" w:ascii="宋体" w:hAnsi="宋体"/>
          <w:highlight w:val="none"/>
        </w:rPr>
        <w:t>烟道及吸罩</w:t>
      </w:r>
    </w:p>
    <w:p w14:paraId="635A5E24">
      <w:pPr>
        <w:ind w:firstLine="480"/>
        <w:rPr>
          <w:highlight w:val="none"/>
        </w:rPr>
      </w:pPr>
      <w:r>
        <w:rPr>
          <w:rFonts w:hint="eastAsia" w:ascii="宋体" w:hAnsi="宋体"/>
          <w:highlight w:val="none"/>
        </w:rPr>
        <w:t>7.5.1.1主要用于粉尘气体的收集，每个设备或皮带机转运点均设置了吸罩以及蝶阀，再经过烟道将粉尘气体送入主烟道中。</w:t>
      </w:r>
    </w:p>
    <w:p w14:paraId="7846F3C3">
      <w:pPr>
        <w:ind w:firstLine="480"/>
        <w:rPr>
          <w:highlight w:val="none"/>
        </w:rPr>
      </w:pPr>
      <w:r>
        <w:rPr>
          <w:rFonts w:hint="eastAsia"/>
          <w:highlight w:val="none"/>
        </w:rPr>
        <w:t>7.5.2袋式除尘器</w:t>
      </w:r>
    </w:p>
    <w:p w14:paraId="44F36F80">
      <w:pPr>
        <w:ind w:firstLine="480"/>
        <w:rPr>
          <w:highlight w:val="none"/>
        </w:rPr>
      </w:pPr>
      <w:r>
        <w:rPr>
          <w:rFonts w:hint="eastAsia"/>
          <w:highlight w:val="none"/>
        </w:rPr>
        <w:t>7.5.2.1收粉除尘系统选用低压脉冲布袋除尘器，本除尘器采用中部烟道进出风的形式，过滤室单列布置，由灰斗、上箱体、中箱体等部分组成，上、中箱体为分室结构。含尘气体从除尘器一端进入下方的风道。风道截面设计成递减截面，含尘气流通过荒气风道分别进入过滤室，粗尘粒直接落人灰斗底部，细尘粒随气流转折向上进入中箱体，粉尘积附在滤袋外表面，过滤后的气体进入上箱体以及上方的净气风道，经风机引出。</w:t>
      </w:r>
    </w:p>
    <w:p w14:paraId="21C829E9">
      <w:pPr>
        <w:ind w:firstLine="480"/>
        <w:rPr>
          <w:highlight w:val="none"/>
        </w:rPr>
      </w:pPr>
      <w:r>
        <w:rPr>
          <w:rFonts w:hint="eastAsia"/>
          <w:highlight w:val="none"/>
        </w:rPr>
        <w:t>7.5.3</w:t>
      </w:r>
      <w:r>
        <w:rPr>
          <w:rFonts w:hint="eastAsia" w:ascii="宋体" w:hAnsi="宋体"/>
          <w:kern w:val="0"/>
          <w:highlight w:val="none"/>
        </w:rPr>
        <w:t>滤袋</w:t>
      </w:r>
    </w:p>
    <w:p w14:paraId="5EEEEF34">
      <w:pPr>
        <w:ind w:firstLine="480"/>
        <w:rPr>
          <w:kern w:val="0"/>
          <w:highlight w:val="none"/>
        </w:rPr>
      </w:pPr>
      <w:r>
        <w:rPr>
          <w:rFonts w:hint="eastAsia"/>
          <w:highlight w:val="none"/>
        </w:rPr>
        <w:t>7.5.3.1</w:t>
      </w:r>
      <w:r>
        <w:rPr>
          <w:rFonts w:hint="eastAsia"/>
          <w:kern w:val="0"/>
          <w:highlight w:val="none"/>
        </w:rPr>
        <w:t>滤袋袋口采用不锈钢弹簧钢涨圈卡环，并采取特殊防腐，要求具有良好的密封和固持性能，在工作条件的拉紧力必须保证滤袋不从花板上脱落，保持滤袋与花板密封贴合良好，不漏风。</w:t>
      </w:r>
    </w:p>
    <w:p w14:paraId="2A1EBD72">
      <w:pPr>
        <w:ind w:firstLine="480"/>
        <w:rPr>
          <w:kern w:val="0"/>
          <w:highlight w:val="none"/>
        </w:rPr>
      </w:pPr>
      <w:r>
        <w:rPr>
          <w:rFonts w:hint="eastAsia"/>
          <w:highlight w:val="none"/>
        </w:rPr>
        <w:t>7.5.3.2</w:t>
      </w:r>
      <w:r>
        <w:rPr>
          <w:rFonts w:hint="eastAsia" w:ascii="宋体" w:hAnsi="宋体"/>
          <w:kern w:val="0"/>
          <w:highlight w:val="none"/>
        </w:rPr>
        <w:t>滤袋缝线的针眼处须作二次贴膜处理，封堵针眼，避免针眼处粉尘的穿透。滤袋的缝合宽度为</w:t>
      </w:r>
      <w:r>
        <w:rPr>
          <w:rFonts w:hint="eastAsia"/>
          <w:kern w:val="0"/>
          <w:highlight w:val="none"/>
        </w:rPr>
        <w:t>10~20 mm</w:t>
      </w:r>
      <w:r>
        <w:rPr>
          <w:rFonts w:hint="eastAsia" w:ascii="宋体" w:hAnsi="宋体"/>
          <w:kern w:val="0"/>
          <w:highlight w:val="none"/>
        </w:rPr>
        <w:t>，缝线在</w:t>
      </w:r>
      <w:r>
        <w:rPr>
          <w:rFonts w:hint="eastAsia"/>
          <w:kern w:val="0"/>
          <w:highlight w:val="none"/>
        </w:rPr>
        <w:t>10 cm</w:t>
      </w:r>
      <w:r>
        <w:rPr>
          <w:rFonts w:hint="eastAsia" w:ascii="宋体" w:hAnsi="宋体"/>
          <w:kern w:val="0"/>
          <w:highlight w:val="none"/>
        </w:rPr>
        <w:t>内的针数不少于</w:t>
      </w:r>
      <w:r>
        <w:rPr>
          <w:rFonts w:hint="eastAsia"/>
          <w:kern w:val="0"/>
          <w:highlight w:val="none"/>
        </w:rPr>
        <w:t>40</w:t>
      </w:r>
      <w:r>
        <w:rPr>
          <w:rFonts w:hint="eastAsia" w:ascii="宋体" w:hAnsi="宋体"/>
          <w:kern w:val="0"/>
          <w:highlight w:val="none"/>
        </w:rPr>
        <w:t>±</w:t>
      </w:r>
      <w:r>
        <w:rPr>
          <w:rFonts w:hint="eastAsia"/>
          <w:kern w:val="0"/>
          <w:highlight w:val="none"/>
        </w:rPr>
        <w:t>5</w:t>
      </w:r>
      <w:r>
        <w:rPr>
          <w:rFonts w:hint="eastAsia" w:ascii="宋体" w:hAnsi="宋体"/>
          <w:kern w:val="0"/>
          <w:highlight w:val="none"/>
        </w:rPr>
        <w:t>针。滤袋的纵向缝线必须牢固、平直且不能少于三条；袋口的环状缝线必须牢固且不得少于两条；滤袋防瘪环的环状缝线必须牢固且每边不得少于二条；袋底的缝线允许单线，但必须缝两圈以上。缝线材质应与滤料材质相同，不允许跳线、浮线、不得掉道。</w:t>
      </w:r>
    </w:p>
    <w:p w14:paraId="1958E477">
      <w:pPr>
        <w:ind w:firstLine="480"/>
        <w:rPr>
          <w:rFonts w:ascii="宋体" w:hAnsi="宋体"/>
          <w:kern w:val="0"/>
          <w:highlight w:val="none"/>
        </w:rPr>
      </w:pPr>
      <w:r>
        <w:rPr>
          <w:rFonts w:hint="eastAsia"/>
          <w:highlight w:val="none"/>
        </w:rPr>
        <w:t>7.5.3.3</w:t>
      </w:r>
      <w:r>
        <w:rPr>
          <w:rFonts w:hint="eastAsia" w:ascii="宋体" w:hAnsi="宋体"/>
          <w:kern w:val="0"/>
          <w:highlight w:val="none"/>
        </w:rPr>
        <w:t>滤袋上端采用了弹簧涨圈形式，密封性能好、换袋快捷。仅需</w:t>
      </w:r>
      <w:r>
        <w:rPr>
          <w:rFonts w:hint="eastAsia"/>
          <w:kern w:val="0"/>
          <w:highlight w:val="none"/>
        </w:rPr>
        <w:t>1-2</w:t>
      </w:r>
      <w:r>
        <w:rPr>
          <w:rFonts w:hint="eastAsia" w:ascii="宋体" w:hAnsi="宋体"/>
          <w:kern w:val="0"/>
          <w:highlight w:val="none"/>
        </w:rPr>
        <w:t>人就能通过机顶便掀式顶盖进行换袋操作。滤袋的装入和取出均在净气室进行，无须进入除尘器过滤室。</w:t>
      </w:r>
    </w:p>
    <w:p w14:paraId="5E5CC50E">
      <w:pPr>
        <w:ind w:firstLine="480"/>
        <w:rPr>
          <w:kern w:val="0"/>
          <w:highlight w:val="none"/>
        </w:rPr>
      </w:pPr>
      <w:r>
        <w:rPr>
          <w:rFonts w:hint="eastAsia" w:ascii="宋体" w:hAnsi="宋体"/>
          <w:kern w:val="0"/>
          <w:highlight w:val="none"/>
        </w:rPr>
        <w:t>滤袋材质要求：</w:t>
      </w:r>
      <w:r>
        <w:rPr>
          <w:rFonts w:ascii="Segoe UI" w:hAnsi="Segoe UI" w:cs="Segoe UI"/>
          <w:bCs/>
          <w:highlight w:val="none"/>
        </w:rPr>
        <w:t>高强度抗磨损、防堵易清灰、耐轻微腐蚀</w:t>
      </w:r>
      <w:r>
        <w:rPr>
          <w:rFonts w:hint="eastAsia" w:ascii="Segoe UI" w:hAnsi="Segoe UI" w:cs="Segoe UI"/>
          <w:bCs/>
          <w:highlight w:val="none"/>
        </w:rPr>
        <w:t>，</w:t>
      </w:r>
      <w:r>
        <w:rPr>
          <w:rFonts w:ascii="Segoe UI" w:hAnsi="Segoe UI" w:cs="Segoe UI"/>
          <w:bCs/>
          <w:highlight w:val="none"/>
        </w:rPr>
        <w:t>如覆膜涤纶针刺毡等。</w:t>
      </w:r>
    </w:p>
    <w:p w14:paraId="553ECB9D">
      <w:pPr>
        <w:ind w:firstLine="480"/>
        <w:rPr>
          <w:kern w:val="0"/>
          <w:highlight w:val="none"/>
        </w:rPr>
      </w:pPr>
      <w:r>
        <w:rPr>
          <w:rFonts w:hint="eastAsia"/>
          <w:highlight w:val="none"/>
        </w:rPr>
        <w:t>7.5.4</w:t>
      </w:r>
      <w:r>
        <w:rPr>
          <w:rFonts w:hint="eastAsia" w:ascii="宋体" w:hAnsi="宋体"/>
          <w:kern w:val="0"/>
          <w:highlight w:val="none"/>
        </w:rPr>
        <w:t>笼骨</w:t>
      </w:r>
    </w:p>
    <w:p w14:paraId="50A0D4C7">
      <w:pPr>
        <w:ind w:firstLine="480"/>
        <w:rPr>
          <w:highlight w:val="none"/>
        </w:rPr>
      </w:pPr>
      <w:r>
        <w:rPr>
          <w:rFonts w:hint="eastAsia"/>
          <w:highlight w:val="none"/>
        </w:rPr>
        <w:t>7.5.4.1</w:t>
      </w:r>
      <w:r>
        <w:rPr>
          <w:rFonts w:hint="eastAsia" w:ascii="宋体" w:hAnsi="宋体"/>
          <w:highlight w:val="none"/>
        </w:rPr>
        <w:t>袋笼采用圆型结构并做镀锌处理，纵筋和反撑环分布均匀，反撑环的间距≤</w:t>
      </w:r>
      <w:r>
        <w:rPr>
          <w:rFonts w:hint="eastAsia"/>
          <w:highlight w:val="none"/>
        </w:rPr>
        <w:t>200mm</w:t>
      </w:r>
      <w:r>
        <w:rPr>
          <w:rFonts w:hint="eastAsia" w:ascii="宋体" w:hAnsi="宋体"/>
          <w:highlight w:val="none"/>
        </w:rPr>
        <w:t>，有足够的强度和刚度，能承受滤袋在过滤及清灰状态中的气体压力，保证在</w:t>
      </w:r>
      <w:r>
        <w:rPr>
          <w:rFonts w:hint="eastAsia"/>
          <w:highlight w:val="none"/>
        </w:rPr>
        <w:t>6000Pa</w:t>
      </w:r>
      <w:r>
        <w:rPr>
          <w:rFonts w:hint="eastAsia" w:ascii="宋体" w:hAnsi="宋体"/>
          <w:highlight w:val="none"/>
        </w:rPr>
        <w:t>负压下运行</w:t>
      </w:r>
      <w:r>
        <w:rPr>
          <w:rFonts w:hint="eastAsia"/>
          <w:highlight w:val="none"/>
        </w:rPr>
        <w:t>1</w:t>
      </w:r>
      <w:r>
        <w:rPr>
          <w:rFonts w:hint="eastAsia" w:ascii="宋体" w:hAnsi="宋体"/>
          <w:highlight w:val="none"/>
        </w:rPr>
        <w:t>小时后塑性变形小于</w:t>
      </w:r>
      <w:r>
        <w:rPr>
          <w:rFonts w:hint="eastAsia"/>
          <w:highlight w:val="none"/>
        </w:rPr>
        <w:t>3mm</w:t>
      </w:r>
      <w:r>
        <w:rPr>
          <w:rFonts w:hint="eastAsia" w:ascii="宋体" w:hAnsi="宋体"/>
          <w:highlight w:val="none"/>
        </w:rPr>
        <w:t>（纵筋直径≥Φ</w:t>
      </w:r>
      <w:r>
        <w:rPr>
          <w:rFonts w:hint="eastAsia"/>
          <w:highlight w:val="none"/>
        </w:rPr>
        <w:t>3.5mm</w:t>
      </w:r>
      <w:r>
        <w:rPr>
          <w:rFonts w:hint="eastAsia" w:ascii="宋体" w:hAnsi="宋体"/>
          <w:highlight w:val="none"/>
        </w:rPr>
        <w:t>，加强反撑环Φ</w:t>
      </w:r>
      <w:r>
        <w:rPr>
          <w:rFonts w:hint="eastAsia"/>
          <w:highlight w:val="none"/>
        </w:rPr>
        <w:t>3.8mm</w:t>
      </w:r>
      <w:r>
        <w:rPr>
          <w:rFonts w:hint="eastAsia" w:ascii="宋体" w:hAnsi="宋体"/>
          <w:highlight w:val="none"/>
        </w:rPr>
        <w:t>）；袋口加保护套。</w:t>
      </w:r>
    </w:p>
    <w:p w14:paraId="0FBF9141">
      <w:pPr>
        <w:ind w:firstLine="480"/>
        <w:rPr>
          <w:highlight w:val="none"/>
        </w:rPr>
      </w:pPr>
      <w:r>
        <w:rPr>
          <w:rFonts w:hint="eastAsia"/>
          <w:highlight w:val="none"/>
        </w:rPr>
        <w:t>7.5.5喷吹系统</w:t>
      </w:r>
    </w:p>
    <w:p w14:paraId="6FD8790A">
      <w:pPr>
        <w:ind w:firstLine="480"/>
        <w:rPr>
          <w:highlight w:val="none"/>
        </w:rPr>
      </w:pPr>
      <w:r>
        <w:rPr>
          <w:rFonts w:hint="eastAsia" w:ascii="宋体" w:hAnsi="宋体"/>
          <w:highlight w:val="none"/>
        </w:rPr>
        <w:t>7.5.5.1喷吹系统要求有防止喷吹管内壁结露腐蚀喷吹管的措施，并达到高强度离线清灰的目的。</w:t>
      </w:r>
    </w:p>
    <w:p w14:paraId="0667A41E">
      <w:pPr>
        <w:ind w:firstLine="480"/>
        <w:rPr>
          <w:highlight w:val="none"/>
        </w:rPr>
      </w:pPr>
      <w:r>
        <w:rPr>
          <w:rFonts w:hint="eastAsia" w:ascii="宋体" w:hAnsi="宋体"/>
          <w:highlight w:val="none"/>
        </w:rPr>
        <w:t>7.5.5.2清灰力度和清灰气量能满足各种运行工况下的清灰需求。空气包上的多个脉冲阀每隔</w:t>
      </w:r>
      <w:r>
        <w:rPr>
          <w:rFonts w:hint="eastAsia"/>
          <w:highlight w:val="none"/>
        </w:rPr>
        <w:t>~1</w:t>
      </w:r>
      <w:r>
        <w:rPr>
          <w:rFonts w:hint="eastAsia" w:ascii="宋体" w:hAnsi="宋体"/>
          <w:highlight w:val="none"/>
        </w:rPr>
        <w:t>分钟（可调）依次启动</w:t>
      </w:r>
      <w:r>
        <w:rPr>
          <w:rFonts w:hint="eastAsia"/>
          <w:highlight w:val="none"/>
        </w:rPr>
        <w:t>0.15</w:t>
      </w:r>
      <w:r>
        <w:rPr>
          <w:rFonts w:hint="eastAsia" w:ascii="宋体" w:hAnsi="宋体"/>
          <w:highlight w:val="none"/>
        </w:rPr>
        <w:t>秒（可调），脉冲阀开启时压缩空气及诱导气体喷入滤袋。喷吹管结构采用高效引流喷嘴，提高气流的喷射效率。</w:t>
      </w:r>
    </w:p>
    <w:p w14:paraId="43B8A9A1">
      <w:pPr>
        <w:ind w:firstLine="480"/>
        <w:rPr>
          <w:highlight w:val="none"/>
        </w:rPr>
      </w:pPr>
      <w:r>
        <w:rPr>
          <w:rFonts w:hint="eastAsia" w:ascii="宋体" w:hAnsi="宋体"/>
          <w:highlight w:val="none"/>
        </w:rPr>
        <w:t>7.5.5.3以上措施可保证清灰效果。</w:t>
      </w:r>
    </w:p>
    <w:p w14:paraId="04E4D23D">
      <w:pPr>
        <w:ind w:firstLine="480"/>
        <w:rPr>
          <w:highlight w:val="none"/>
        </w:rPr>
      </w:pPr>
      <w:r>
        <w:rPr>
          <w:rFonts w:hint="eastAsia"/>
          <w:highlight w:val="none"/>
        </w:rPr>
        <w:t>7.5.6</w:t>
      </w:r>
      <w:r>
        <w:rPr>
          <w:rFonts w:hint="eastAsia" w:ascii="宋体" w:hAnsi="宋体"/>
          <w:highlight w:val="none"/>
        </w:rPr>
        <w:t>除尘器控制系统</w:t>
      </w:r>
    </w:p>
    <w:p w14:paraId="7683492E">
      <w:pPr>
        <w:ind w:firstLine="480"/>
        <w:rPr>
          <w:highlight w:val="none"/>
        </w:rPr>
      </w:pPr>
      <w:r>
        <w:rPr>
          <w:rFonts w:hint="eastAsia" w:ascii="宋体" w:hAnsi="宋体"/>
          <w:highlight w:val="none"/>
        </w:rPr>
        <w:t>7.5.6.1除尘器控制系统采用</w:t>
      </w:r>
      <w:r>
        <w:rPr>
          <w:rFonts w:hint="eastAsia"/>
          <w:highlight w:val="none"/>
        </w:rPr>
        <w:t>PLC</w:t>
      </w:r>
      <w:r>
        <w:rPr>
          <w:rFonts w:hint="eastAsia" w:ascii="宋体" w:hAnsi="宋体"/>
          <w:highlight w:val="none"/>
        </w:rPr>
        <w:t>进行自动控制。反吹清灰控制采用压差、时间、混合三种控制方式，混合控制方式以时间为主，压差优先，通常情况下，置于混合控制方式。控制系统设有压力检测及报警功能。控制系统留有足够的</w:t>
      </w:r>
      <w:r>
        <w:rPr>
          <w:rFonts w:hint="eastAsia"/>
          <w:highlight w:val="none"/>
        </w:rPr>
        <w:t>I/O</w:t>
      </w:r>
      <w:r>
        <w:rPr>
          <w:rFonts w:hint="eastAsia" w:ascii="宋体" w:hAnsi="宋体"/>
          <w:highlight w:val="none"/>
        </w:rPr>
        <w:t>接口。</w:t>
      </w:r>
    </w:p>
    <w:p w14:paraId="179558B5">
      <w:pPr>
        <w:ind w:firstLine="480"/>
        <w:rPr>
          <w:highlight w:val="none"/>
        </w:rPr>
      </w:pPr>
      <w:r>
        <w:rPr>
          <w:rFonts w:hint="eastAsia"/>
          <w:highlight w:val="none"/>
        </w:rPr>
        <w:t>7.5.7</w:t>
      </w:r>
      <w:r>
        <w:rPr>
          <w:rFonts w:hint="eastAsia" w:ascii="宋体" w:hAnsi="宋体"/>
          <w:highlight w:val="none"/>
        </w:rPr>
        <w:t>除尘器配件</w:t>
      </w:r>
    </w:p>
    <w:p w14:paraId="1BDD710E">
      <w:pPr>
        <w:ind w:firstLine="480"/>
        <w:rPr>
          <w:rFonts w:ascii="宋体" w:hAnsi="宋体"/>
          <w:highlight w:val="none"/>
        </w:rPr>
      </w:pPr>
      <w:r>
        <w:rPr>
          <w:rFonts w:hint="eastAsia" w:ascii="宋体" w:hAnsi="宋体"/>
          <w:highlight w:val="none"/>
        </w:rPr>
        <w:t>7.5.7.1除尘器脉冲阀选用</w:t>
      </w:r>
      <w:r>
        <w:rPr>
          <w:rFonts w:hint="eastAsia"/>
          <w:highlight w:val="none"/>
        </w:rPr>
        <w:t>2</w:t>
      </w:r>
      <w:r>
        <w:rPr>
          <w:rFonts w:hint="eastAsia" w:ascii="宋体" w:hAnsi="宋体"/>
          <w:highlight w:val="none"/>
        </w:rPr>
        <w:t>寸淹没式</w:t>
      </w:r>
      <w:r>
        <w:rPr>
          <w:rFonts w:hint="eastAsia"/>
          <w:highlight w:val="none"/>
        </w:rPr>
        <w:t>DC24V</w:t>
      </w:r>
      <w:r>
        <w:rPr>
          <w:rFonts w:hint="eastAsia" w:ascii="宋体" w:hAnsi="宋体"/>
          <w:highlight w:val="none"/>
        </w:rPr>
        <w:t>脉冲阀，可无故障连续工作</w:t>
      </w:r>
      <w:r>
        <w:rPr>
          <w:rFonts w:hint="eastAsia"/>
          <w:highlight w:val="none"/>
        </w:rPr>
        <w:t>100</w:t>
      </w:r>
      <w:r>
        <w:rPr>
          <w:rFonts w:hint="eastAsia" w:ascii="宋体" w:hAnsi="宋体"/>
          <w:highlight w:val="none"/>
        </w:rPr>
        <w:t>万次以上。</w:t>
      </w:r>
    </w:p>
    <w:p w14:paraId="7B95E03D">
      <w:pPr>
        <w:pStyle w:val="103"/>
        <w:numPr>
          <w:ilvl w:val="2"/>
          <w:numId w:val="0"/>
        </w:numPr>
        <w:ind w:firstLine="426"/>
        <w:rPr>
          <w:highlight w:val="none"/>
        </w:rPr>
      </w:pPr>
      <w:r>
        <w:rPr>
          <w:rFonts w:hint="eastAsia"/>
          <w:highlight w:val="none"/>
        </w:rPr>
        <w:t>7.6</w:t>
      </w:r>
      <w:r>
        <w:rPr>
          <w:highlight w:val="none"/>
        </w:rPr>
        <w:t>喷淋降尘设备</w:t>
      </w:r>
    </w:p>
    <w:p w14:paraId="3A63F4AF">
      <w:pPr>
        <w:ind w:firstLine="480"/>
        <w:rPr>
          <w:highlight w:val="none"/>
        </w:rPr>
      </w:pPr>
      <w:r>
        <w:rPr>
          <w:rFonts w:hint="eastAsia"/>
          <w:highlight w:val="none"/>
        </w:rPr>
        <w:t>7.6.1</w:t>
      </w:r>
      <w:r>
        <w:rPr>
          <w:highlight w:val="none"/>
        </w:rPr>
        <w:t>喷淋降尘设备是一种智能化的环保设备，主要用于减少空气中的尘埃和颗粒物质，提供舒适的工作环境。这种设备采用智能控制技术和自动化喷淋系统，能够长时间全自动地开始消灭空气中的尘埃，为分拣中心的工作人员提供更加舒适的工作环境。</w:t>
      </w:r>
    </w:p>
    <w:p w14:paraId="60208A42">
      <w:pPr>
        <w:ind w:firstLine="480"/>
        <w:rPr>
          <w:highlight w:val="none"/>
        </w:rPr>
      </w:pPr>
      <w:r>
        <w:rPr>
          <w:rFonts w:hint="eastAsia"/>
          <w:highlight w:val="none"/>
        </w:rPr>
        <w:t>7.6.2</w:t>
      </w:r>
      <w:r>
        <w:rPr>
          <w:highlight w:val="none"/>
        </w:rPr>
        <w:t>它主要由喷淋系统、控制系统、供水系统和电气系统组成，通过智能控制系统精准控制水雾喷淋的时间和强度，形成一定的湿润环境，使尘埃和颗粒物质沉降，避免了二次扬尘，有效降低了空气的污染程度。</w:t>
      </w:r>
    </w:p>
    <w:p w14:paraId="785CF704">
      <w:pPr>
        <w:pStyle w:val="95"/>
        <w:numPr>
          <w:ilvl w:val="3"/>
          <w:numId w:val="0"/>
        </w:numPr>
        <w:rPr>
          <w:highlight w:val="none"/>
        </w:rPr>
      </w:pPr>
      <w:r>
        <w:rPr>
          <w:highlight w:val="none"/>
        </w:rPr>
        <w:t>表2.7-5</w:t>
      </w:r>
      <w:r>
        <w:rPr>
          <w:rFonts w:hint="eastAsia"/>
          <w:highlight w:val="none"/>
        </w:rPr>
        <w:t>主要技术参数</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7740"/>
      </w:tblGrid>
      <w:tr w14:paraId="7795E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73" w:type="pct"/>
            <w:shd w:val="clear" w:color="auto" w:fill="auto"/>
            <w:noWrap/>
            <w:vAlign w:val="center"/>
          </w:tcPr>
          <w:p w14:paraId="291879C0">
            <w:pPr>
              <w:pStyle w:val="121"/>
              <w:rPr>
                <w:highlight w:val="none"/>
              </w:rPr>
            </w:pPr>
            <w:r>
              <w:rPr>
                <w:rFonts w:hint="eastAsia"/>
                <w:highlight w:val="none"/>
              </w:rPr>
              <w:t>设备</w:t>
            </w:r>
          </w:p>
        </w:tc>
        <w:tc>
          <w:tcPr>
            <w:tcW w:w="3927" w:type="pct"/>
            <w:shd w:val="clear" w:color="auto" w:fill="auto"/>
            <w:noWrap/>
            <w:vAlign w:val="center"/>
          </w:tcPr>
          <w:p w14:paraId="3683F876">
            <w:pPr>
              <w:pStyle w:val="121"/>
              <w:rPr>
                <w:highlight w:val="none"/>
              </w:rPr>
            </w:pPr>
            <w:r>
              <w:rPr>
                <w:rFonts w:hint="eastAsia"/>
                <w:highlight w:val="none"/>
              </w:rPr>
              <w:t>关键参数</w:t>
            </w:r>
          </w:p>
        </w:tc>
      </w:tr>
      <w:tr w14:paraId="57111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73" w:type="pct"/>
            <w:shd w:val="clear" w:color="auto" w:fill="auto"/>
            <w:noWrap/>
            <w:vAlign w:val="center"/>
          </w:tcPr>
          <w:p w14:paraId="72084D88">
            <w:pPr>
              <w:pStyle w:val="121"/>
              <w:rPr>
                <w:highlight w:val="none"/>
              </w:rPr>
            </w:pPr>
            <w:r>
              <w:rPr>
                <w:rFonts w:hint="eastAsia"/>
                <w:highlight w:val="none"/>
              </w:rPr>
              <w:t>喷淋降尘系统</w:t>
            </w:r>
          </w:p>
        </w:tc>
        <w:tc>
          <w:tcPr>
            <w:tcW w:w="3927" w:type="pct"/>
            <w:shd w:val="clear" w:color="auto" w:fill="auto"/>
            <w:vAlign w:val="center"/>
          </w:tcPr>
          <w:p w14:paraId="0C1CA2C0">
            <w:pPr>
              <w:pStyle w:val="121"/>
              <w:rPr>
                <w:highlight w:val="none"/>
              </w:rPr>
            </w:pPr>
            <w:r>
              <w:rPr>
                <w:rFonts w:hint="eastAsia"/>
                <w:highlight w:val="none"/>
              </w:rPr>
              <w:t>喷头数：≥80-140</w:t>
            </w:r>
          </w:p>
          <w:p w14:paraId="6D0BBF60">
            <w:pPr>
              <w:pStyle w:val="121"/>
              <w:rPr>
                <w:highlight w:val="none"/>
              </w:rPr>
            </w:pPr>
            <w:r>
              <w:rPr>
                <w:rFonts w:hint="eastAsia"/>
                <w:highlight w:val="none"/>
              </w:rPr>
              <w:t>材质：不锈钢喷头、不锈钢护罩</w:t>
            </w:r>
          </w:p>
          <w:p w14:paraId="67CD43D5">
            <w:pPr>
              <w:pStyle w:val="121"/>
              <w:rPr>
                <w:rFonts w:ascii="Segoe UI" w:hAnsi="Segoe UI" w:cs="Segoe UI"/>
                <w:highlight w:val="none"/>
                <w:shd w:val="clear" w:color="auto" w:fill="FFFFFF"/>
              </w:rPr>
            </w:pPr>
            <w:r>
              <w:rPr>
                <w:rFonts w:hint="eastAsia"/>
                <w:highlight w:val="none"/>
              </w:rPr>
              <w:t>管道材质：304不锈钢管</w:t>
            </w:r>
          </w:p>
          <w:p w14:paraId="1D35C42A">
            <w:pPr>
              <w:pStyle w:val="121"/>
              <w:rPr>
                <w:highlight w:val="none"/>
              </w:rPr>
            </w:pPr>
            <w:r>
              <w:rPr>
                <w:rFonts w:ascii="Segoe UI" w:hAnsi="Segoe UI" w:cs="Segoe UI"/>
                <w:highlight w:val="none"/>
                <w:shd w:val="clear" w:color="auto" w:fill="FFFFFF"/>
              </w:rPr>
              <w:t>单喷头流量3 - 4kg/h（</w:t>
            </w:r>
            <w:r>
              <w:rPr>
                <w:rFonts w:hint="eastAsia" w:ascii="Segoe UI" w:hAnsi="Segoe UI" w:cs="Segoe UI"/>
                <w:highlight w:val="none"/>
                <w:shd w:val="clear" w:color="auto" w:fill="FFFFFF"/>
              </w:rPr>
              <w:t>≥4</w:t>
            </w:r>
            <w:r>
              <w:rPr>
                <w:rFonts w:ascii="Segoe UI" w:hAnsi="Segoe UI" w:cs="Segoe UI"/>
                <w:highlight w:val="none"/>
                <w:shd w:val="clear" w:color="auto" w:fill="FFFFFF"/>
              </w:rPr>
              <w:t>MPa 工况下）</w:t>
            </w:r>
          </w:p>
          <w:p w14:paraId="7FA85229">
            <w:pPr>
              <w:pStyle w:val="121"/>
              <w:rPr>
                <w:highlight w:val="none"/>
              </w:rPr>
            </w:pPr>
            <w:r>
              <w:rPr>
                <w:rFonts w:hint="eastAsia"/>
                <w:highlight w:val="none"/>
              </w:rPr>
              <w:t>控制方式：手动/自动/远程</w:t>
            </w:r>
          </w:p>
        </w:tc>
      </w:tr>
    </w:tbl>
    <w:p w14:paraId="6C5BAAAB">
      <w:pPr>
        <w:pStyle w:val="103"/>
        <w:numPr>
          <w:ilvl w:val="2"/>
          <w:numId w:val="0"/>
        </w:numPr>
        <w:ind w:firstLine="426"/>
        <w:rPr>
          <w:highlight w:val="none"/>
        </w:rPr>
      </w:pPr>
      <w:bookmarkStart w:id="93" w:name="_Toc26493"/>
      <w:r>
        <w:rPr>
          <w:rFonts w:hint="eastAsia"/>
          <w:highlight w:val="none"/>
        </w:rPr>
        <w:t>7.7装载机</w:t>
      </w:r>
    </w:p>
    <w:p w14:paraId="4E881B41">
      <w:pPr>
        <w:ind w:firstLine="480"/>
        <w:rPr>
          <w:highlight w:val="none"/>
        </w:rPr>
      </w:pPr>
      <w:r>
        <w:rPr>
          <w:rFonts w:hint="eastAsia"/>
          <w:highlight w:val="none"/>
        </w:rPr>
        <w:t>7.7.1装载机由底盘、工作装置和驾驶室三部分组成。底盘是装载机的基础，承受着整个机器的重量，保证了稳定性和可靠性。工作装置主要包括铲斗和升降系统，铲斗用于装载和卸载材料，升降系统可调节铲斗的高度。驾驶室是操作员的工作空间，配备有操纵杆和仪表盘，操作员通过杆控制装载机的行驶和工作。通过发动机驱动液压系统，使铲斗进行升降和倾斜运动。操作员通过操纵杆控制液压系统，实现铲斗的各种动作。</w:t>
      </w:r>
    </w:p>
    <w:p w14:paraId="76D88D34">
      <w:pPr>
        <w:pStyle w:val="95"/>
        <w:numPr>
          <w:ilvl w:val="3"/>
          <w:numId w:val="0"/>
        </w:numPr>
        <w:rPr>
          <w:highlight w:val="none"/>
          <w:lang w:bidi="en-US"/>
        </w:rPr>
      </w:pPr>
      <w:r>
        <w:rPr>
          <w:highlight w:val="none"/>
          <w:lang w:bidi="en-US"/>
        </w:rPr>
        <w:t>表2.7-6</w:t>
      </w:r>
      <w:r>
        <w:rPr>
          <w:rFonts w:hint="eastAsia"/>
          <w:highlight w:val="none"/>
          <w:lang w:bidi="en-US"/>
        </w:rPr>
        <w:t xml:space="preserve">技术参数 </w:t>
      </w:r>
    </w:p>
    <w:tbl>
      <w:tblPr>
        <w:tblStyle w:val="42"/>
        <w:tblW w:w="8324" w:type="dxa"/>
        <w:jc w:val="center"/>
        <w:tblLayout w:type="fixed"/>
        <w:tblCellMar>
          <w:top w:w="0" w:type="dxa"/>
          <w:left w:w="0" w:type="dxa"/>
          <w:bottom w:w="0" w:type="dxa"/>
          <w:right w:w="0" w:type="dxa"/>
        </w:tblCellMar>
      </w:tblPr>
      <w:tblGrid>
        <w:gridCol w:w="811"/>
        <w:gridCol w:w="3178"/>
        <w:gridCol w:w="4335"/>
      </w:tblGrid>
      <w:tr w14:paraId="05EA08AE">
        <w:tblPrEx>
          <w:tblCellMar>
            <w:top w:w="0" w:type="dxa"/>
            <w:left w:w="0" w:type="dxa"/>
            <w:bottom w:w="0" w:type="dxa"/>
            <w:right w:w="0" w:type="dxa"/>
          </w:tblCellMar>
        </w:tblPrEx>
        <w:trPr>
          <w:trHeight w:val="227" w:hRule="atLeast"/>
          <w:tblHeader/>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E802899">
            <w:pPr>
              <w:pStyle w:val="121"/>
              <w:rPr>
                <w:highlight w:val="none"/>
              </w:rPr>
            </w:pPr>
            <w:r>
              <w:rPr>
                <w:rFonts w:hint="eastAsia"/>
                <w:highlight w:val="none"/>
              </w:rPr>
              <w:t>序号</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7500E80">
            <w:pPr>
              <w:pStyle w:val="121"/>
              <w:rPr>
                <w:highlight w:val="none"/>
              </w:rPr>
            </w:pPr>
            <w:r>
              <w:rPr>
                <w:rFonts w:hint="eastAsia"/>
                <w:highlight w:val="none"/>
              </w:rPr>
              <w:t>名称</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666E1082">
            <w:pPr>
              <w:pStyle w:val="121"/>
              <w:rPr>
                <w:highlight w:val="none"/>
              </w:rPr>
            </w:pPr>
            <w:r>
              <w:rPr>
                <w:rFonts w:hint="eastAsia"/>
                <w:highlight w:val="none"/>
              </w:rPr>
              <w:t>技术性能与参数</w:t>
            </w:r>
          </w:p>
        </w:tc>
      </w:tr>
      <w:tr w14:paraId="2B82CE71">
        <w:tblPrEx>
          <w:tblCellMar>
            <w:top w:w="0" w:type="dxa"/>
            <w:left w:w="0" w:type="dxa"/>
            <w:bottom w:w="0" w:type="dxa"/>
            <w:right w:w="0" w:type="dxa"/>
          </w:tblCellMar>
        </w:tblPrEx>
        <w:trPr>
          <w:trHeight w:val="90"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70B38F7">
            <w:pPr>
              <w:pStyle w:val="121"/>
              <w:rPr>
                <w:highlight w:val="none"/>
              </w:rPr>
            </w:pPr>
            <w:r>
              <w:rPr>
                <w:rFonts w:hint="eastAsia"/>
                <w:highlight w:val="none"/>
              </w:rPr>
              <w:t>1</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984590B">
            <w:pPr>
              <w:pStyle w:val="121"/>
              <w:rPr>
                <w:highlight w:val="none"/>
              </w:rPr>
            </w:pPr>
            <w:r>
              <w:rPr>
                <w:rFonts w:hint="eastAsia"/>
                <w:szCs w:val="24"/>
                <w:highlight w:val="none"/>
              </w:rPr>
              <w:t>额定载荷</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C5E70C1">
            <w:pPr>
              <w:pStyle w:val="121"/>
              <w:rPr>
                <w:highlight w:val="none"/>
              </w:rPr>
            </w:pPr>
            <w:r>
              <w:rPr>
                <w:rFonts w:hint="eastAsia"/>
                <w:szCs w:val="24"/>
                <w:highlight w:val="none"/>
              </w:rPr>
              <w:t>≥3000kg</w:t>
            </w:r>
          </w:p>
        </w:tc>
      </w:tr>
      <w:tr w14:paraId="7D4D602B">
        <w:tblPrEx>
          <w:tblCellMar>
            <w:top w:w="0" w:type="dxa"/>
            <w:left w:w="0" w:type="dxa"/>
            <w:bottom w:w="0" w:type="dxa"/>
            <w:right w:w="0" w:type="dxa"/>
          </w:tblCellMar>
        </w:tblPrEx>
        <w:trPr>
          <w:trHeight w:val="90"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7C9354D">
            <w:pPr>
              <w:pStyle w:val="121"/>
              <w:rPr>
                <w:highlight w:val="none"/>
              </w:rPr>
            </w:pPr>
            <w:r>
              <w:rPr>
                <w:rFonts w:hint="eastAsia"/>
                <w:highlight w:val="none"/>
              </w:rPr>
              <w:t>2</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3E47FBC">
            <w:pPr>
              <w:pStyle w:val="121"/>
              <w:rPr>
                <w:highlight w:val="none"/>
              </w:rPr>
            </w:pPr>
            <w:r>
              <w:rPr>
                <w:rFonts w:hint="eastAsia"/>
                <w:szCs w:val="24"/>
                <w:highlight w:val="none"/>
              </w:rPr>
              <w:t>额定功率</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583D187">
            <w:pPr>
              <w:pStyle w:val="121"/>
              <w:rPr>
                <w:highlight w:val="none"/>
              </w:rPr>
            </w:pPr>
            <w:r>
              <w:rPr>
                <w:rFonts w:hint="eastAsia"/>
                <w:szCs w:val="24"/>
                <w:highlight w:val="none"/>
              </w:rPr>
              <w:t>≤170kW</w:t>
            </w:r>
          </w:p>
        </w:tc>
      </w:tr>
      <w:tr w14:paraId="4A1C6D63">
        <w:tblPrEx>
          <w:tblCellMar>
            <w:top w:w="0" w:type="dxa"/>
            <w:left w:w="0" w:type="dxa"/>
            <w:bottom w:w="0" w:type="dxa"/>
            <w:right w:w="0" w:type="dxa"/>
          </w:tblCellMar>
        </w:tblPrEx>
        <w:trPr>
          <w:trHeight w:val="90"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5CEAE8D">
            <w:pPr>
              <w:pStyle w:val="121"/>
              <w:rPr>
                <w:highlight w:val="none"/>
              </w:rPr>
            </w:pPr>
            <w:r>
              <w:rPr>
                <w:rFonts w:hint="eastAsia"/>
                <w:highlight w:val="none"/>
              </w:rPr>
              <w:t>3</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AF7E2F3">
            <w:pPr>
              <w:pStyle w:val="121"/>
              <w:rPr>
                <w:highlight w:val="none"/>
              </w:rPr>
            </w:pPr>
            <w:r>
              <w:rPr>
                <w:rFonts w:hint="eastAsia"/>
                <w:szCs w:val="24"/>
                <w:highlight w:val="none"/>
              </w:rPr>
              <w:t>工作质量</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52F19B0">
            <w:pPr>
              <w:pStyle w:val="121"/>
              <w:rPr>
                <w:highlight w:val="none"/>
              </w:rPr>
            </w:pPr>
            <w:r>
              <w:rPr>
                <w:rFonts w:hint="eastAsia"/>
                <w:szCs w:val="24"/>
                <w:highlight w:val="none"/>
              </w:rPr>
              <w:t>≥17000kg</w:t>
            </w:r>
          </w:p>
        </w:tc>
      </w:tr>
      <w:tr w14:paraId="4DF6694C">
        <w:tblPrEx>
          <w:tblCellMar>
            <w:top w:w="0" w:type="dxa"/>
            <w:left w:w="0" w:type="dxa"/>
            <w:bottom w:w="0" w:type="dxa"/>
            <w:right w:w="0" w:type="dxa"/>
          </w:tblCellMar>
        </w:tblPrEx>
        <w:trPr>
          <w:trHeight w:val="90"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D40CA3E">
            <w:pPr>
              <w:pStyle w:val="121"/>
              <w:rPr>
                <w:highlight w:val="none"/>
              </w:rPr>
            </w:pPr>
            <w:r>
              <w:rPr>
                <w:rFonts w:hint="eastAsia"/>
                <w:highlight w:val="none"/>
              </w:rPr>
              <w:t>4</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2DD1F9F">
            <w:pPr>
              <w:pStyle w:val="121"/>
              <w:rPr>
                <w:highlight w:val="none"/>
              </w:rPr>
            </w:pPr>
            <w:r>
              <w:rPr>
                <w:rFonts w:hint="eastAsia"/>
                <w:szCs w:val="24"/>
                <w:highlight w:val="none"/>
              </w:rPr>
              <w:t>卸载高度</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77B947F1">
            <w:pPr>
              <w:pStyle w:val="121"/>
              <w:rPr>
                <w:highlight w:val="none"/>
              </w:rPr>
            </w:pPr>
            <w:r>
              <w:rPr>
                <w:rFonts w:hint="eastAsia"/>
                <w:szCs w:val="24"/>
                <w:highlight w:val="none"/>
              </w:rPr>
              <w:t>3100~3780mm</w:t>
            </w:r>
          </w:p>
        </w:tc>
      </w:tr>
      <w:tr w14:paraId="76636A1F">
        <w:tblPrEx>
          <w:tblCellMar>
            <w:top w:w="0" w:type="dxa"/>
            <w:left w:w="0" w:type="dxa"/>
            <w:bottom w:w="0" w:type="dxa"/>
            <w:right w:w="0" w:type="dxa"/>
          </w:tblCellMar>
        </w:tblPrEx>
        <w:trPr>
          <w:trHeight w:val="90"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6214550">
            <w:pPr>
              <w:pStyle w:val="121"/>
              <w:rPr>
                <w:highlight w:val="none"/>
              </w:rPr>
            </w:pPr>
            <w:r>
              <w:rPr>
                <w:rFonts w:hint="eastAsia"/>
                <w:highlight w:val="none"/>
              </w:rPr>
              <w:t>5</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5A4DE1A">
            <w:pPr>
              <w:pStyle w:val="121"/>
              <w:rPr>
                <w:highlight w:val="none"/>
              </w:rPr>
            </w:pPr>
            <w:r>
              <w:rPr>
                <w:rFonts w:hint="eastAsia"/>
                <w:szCs w:val="24"/>
                <w:highlight w:val="none"/>
              </w:rPr>
              <w:t>卸载距离</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652F980">
            <w:pPr>
              <w:pStyle w:val="121"/>
              <w:rPr>
                <w:highlight w:val="none"/>
              </w:rPr>
            </w:pPr>
            <w:r>
              <w:rPr>
                <w:rFonts w:hint="eastAsia"/>
                <w:szCs w:val="24"/>
                <w:highlight w:val="none"/>
              </w:rPr>
              <w:t>1100~1220mm</w:t>
            </w:r>
          </w:p>
        </w:tc>
      </w:tr>
      <w:tr w14:paraId="30C0C421">
        <w:tblPrEx>
          <w:tblCellMar>
            <w:top w:w="0" w:type="dxa"/>
            <w:left w:w="0" w:type="dxa"/>
            <w:bottom w:w="0" w:type="dxa"/>
            <w:right w:w="0" w:type="dxa"/>
          </w:tblCellMar>
        </w:tblPrEx>
        <w:trPr>
          <w:trHeight w:val="374"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1E7B6CA">
            <w:pPr>
              <w:pStyle w:val="121"/>
              <w:rPr>
                <w:highlight w:val="none"/>
              </w:rPr>
            </w:pPr>
            <w:r>
              <w:rPr>
                <w:rFonts w:hint="eastAsia"/>
                <w:highlight w:val="none"/>
              </w:rPr>
              <w:t>6</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53971B1">
            <w:pPr>
              <w:pStyle w:val="121"/>
              <w:rPr>
                <w:highlight w:val="none"/>
              </w:rPr>
            </w:pPr>
            <w:r>
              <w:rPr>
                <w:rFonts w:hint="eastAsia"/>
                <w:szCs w:val="24"/>
                <w:highlight w:val="none"/>
              </w:rPr>
              <w:t>三项和时间</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4EFA123">
            <w:pPr>
              <w:pStyle w:val="121"/>
              <w:rPr>
                <w:highlight w:val="none"/>
              </w:rPr>
            </w:pPr>
            <w:r>
              <w:rPr>
                <w:rFonts w:hint="eastAsia"/>
                <w:szCs w:val="24"/>
                <w:highlight w:val="none"/>
              </w:rPr>
              <w:t>≥15s</w:t>
            </w:r>
          </w:p>
        </w:tc>
      </w:tr>
      <w:tr w14:paraId="316EFCBD">
        <w:tblPrEx>
          <w:tblCellMar>
            <w:top w:w="0" w:type="dxa"/>
            <w:left w:w="0" w:type="dxa"/>
            <w:bottom w:w="0" w:type="dxa"/>
            <w:right w:w="0" w:type="dxa"/>
          </w:tblCellMar>
        </w:tblPrEx>
        <w:trPr>
          <w:trHeight w:val="374"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49E2AC6">
            <w:pPr>
              <w:pStyle w:val="121"/>
              <w:rPr>
                <w:highlight w:val="none"/>
              </w:rPr>
            </w:pPr>
            <w:r>
              <w:rPr>
                <w:rFonts w:hint="eastAsia"/>
                <w:highlight w:val="none"/>
              </w:rPr>
              <w:t>7</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4686FEC">
            <w:pPr>
              <w:pStyle w:val="121"/>
              <w:rPr>
                <w:highlight w:val="none"/>
              </w:rPr>
            </w:pPr>
            <w:r>
              <w:rPr>
                <w:rFonts w:hint="eastAsia"/>
                <w:szCs w:val="24"/>
                <w:highlight w:val="none"/>
              </w:rPr>
              <w:t>最小转弯半径(轮胎中心) m</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53B9C169">
            <w:pPr>
              <w:pStyle w:val="121"/>
              <w:rPr>
                <w:highlight w:val="none"/>
              </w:rPr>
            </w:pPr>
            <w:r>
              <w:rPr>
                <w:rFonts w:hint="eastAsia"/>
                <w:szCs w:val="24"/>
                <w:highlight w:val="none"/>
              </w:rPr>
              <w:t>≤10.5m</w:t>
            </w:r>
          </w:p>
        </w:tc>
      </w:tr>
      <w:tr w14:paraId="45666784">
        <w:tblPrEx>
          <w:tblCellMar>
            <w:top w:w="0" w:type="dxa"/>
            <w:left w:w="0" w:type="dxa"/>
            <w:bottom w:w="0" w:type="dxa"/>
            <w:right w:w="0" w:type="dxa"/>
          </w:tblCellMar>
        </w:tblPrEx>
        <w:trPr>
          <w:trHeight w:val="248"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657848E">
            <w:pPr>
              <w:pStyle w:val="121"/>
              <w:rPr>
                <w:highlight w:val="none"/>
              </w:rPr>
            </w:pPr>
            <w:r>
              <w:rPr>
                <w:rFonts w:hint="eastAsia"/>
                <w:highlight w:val="none"/>
              </w:rPr>
              <w:t>8</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2F4C4ECD">
            <w:pPr>
              <w:pStyle w:val="121"/>
              <w:rPr>
                <w:highlight w:val="none"/>
              </w:rPr>
            </w:pPr>
            <w:r>
              <w:rPr>
                <w:rFonts w:hint="eastAsia"/>
                <w:szCs w:val="24"/>
                <w:highlight w:val="none"/>
              </w:rPr>
              <w:t>斗容</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263645C">
            <w:pPr>
              <w:pStyle w:val="121"/>
              <w:rPr>
                <w:highlight w:val="none"/>
              </w:rPr>
            </w:pPr>
            <w:r>
              <w:rPr>
                <w:rFonts w:hint="eastAsia"/>
                <w:szCs w:val="24"/>
                <w:highlight w:val="none"/>
              </w:rPr>
              <w:t>≥2.8m³</w:t>
            </w:r>
          </w:p>
        </w:tc>
      </w:tr>
      <w:tr w14:paraId="1C0E26BA">
        <w:tblPrEx>
          <w:tblCellMar>
            <w:top w:w="0" w:type="dxa"/>
            <w:left w:w="0" w:type="dxa"/>
            <w:bottom w:w="0" w:type="dxa"/>
            <w:right w:w="0" w:type="dxa"/>
          </w:tblCellMar>
        </w:tblPrEx>
        <w:trPr>
          <w:trHeight w:val="374" w:hRule="atLeast"/>
          <w:jc w:val="center"/>
        </w:trPr>
        <w:tc>
          <w:tcPr>
            <w:tcW w:w="811"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18AE6DB5">
            <w:pPr>
              <w:pStyle w:val="121"/>
              <w:rPr>
                <w:highlight w:val="none"/>
              </w:rPr>
            </w:pPr>
            <w:r>
              <w:rPr>
                <w:rFonts w:hint="eastAsia"/>
                <w:highlight w:val="none"/>
              </w:rPr>
              <w:t>9</w:t>
            </w:r>
          </w:p>
        </w:tc>
        <w:tc>
          <w:tcPr>
            <w:tcW w:w="317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007A8EBE">
            <w:pPr>
              <w:pStyle w:val="121"/>
              <w:rPr>
                <w:highlight w:val="none"/>
              </w:rPr>
            </w:pPr>
            <w:r>
              <w:rPr>
                <w:rFonts w:hint="eastAsia"/>
                <w:szCs w:val="24"/>
                <w:highlight w:val="none"/>
              </w:rPr>
              <w:t>最大掘起力</w:t>
            </w:r>
          </w:p>
        </w:tc>
        <w:tc>
          <w:tcPr>
            <w:tcW w:w="4335"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14:paraId="4D7C8777">
            <w:pPr>
              <w:pStyle w:val="121"/>
              <w:rPr>
                <w:highlight w:val="none"/>
              </w:rPr>
            </w:pPr>
            <w:r>
              <w:rPr>
                <w:rFonts w:hint="eastAsia"/>
                <w:szCs w:val="24"/>
                <w:highlight w:val="none"/>
              </w:rPr>
              <w:t>≥160kN</w:t>
            </w:r>
          </w:p>
        </w:tc>
      </w:tr>
      <w:bookmarkEnd w:id="93"/>
    </w:tbl>
    <w:p w14:paraId="7409E6DF">
      <w:pPr>
        <w:pStyle w:val="103"/>
        <w:numPr>
          <w:ilvl w:val="2"/>
          <w:numId w:val="0"/>
        </w:numPr>
        <w:ind w:firstLine="426"/>
        <w:rPr>
          <w:highlight w:val="none"/>
        </w:rPr>
      </w:pPr>
      <w:r>
        <w:rPr>
          <w:rFonts w:hint="eastAsia"/>
          <w:highlight w:val="none"/>
        </w:rPr>
        <w:t>7.8链板输送机（可回收分拣）</w:t>
      </w:r>
    </w:p>
    <w:p w14:paraId="5C3E95D1">
      <w:pPr>
        <w:ind w:firstLine="480"/>
        <w:rPr>
          <w:highlight w:val="none"/>
        </w:rPr>
      </w:pPr>
      <w:r>
        <w:rPr>
          <w:rFonts w:hint="eastAsia"/>
          <w:highlight w:val="none"/>
        </w:rPr>
        <w:t>7.8.1</w:t>
      </w:r>
      <w:r>
        <w:rPr>
          <w:highlight w:val="none"/>
        </w:rPr>
        <w:t>链板输送机主要适用于可回收垃圾、生活垃圾的喂料，起到均匀输送物料的作用，链板输送机料仓下部周边留有足够的空间便于维修和清理。适用于沿水平或倾斜段向工作机械或料仓、漏斗等其他容器连续均匀地输送物料。是一种散状物料输送设备，把间歇式给料转变为连续性给料，具有牵引力大，使用寿命长，检修方便的优点。</w:t>
      </w:r>
    </w:p>
    <w:p w14:paraId="75D39E00">
      <w:pPr>
        <w:pStyle w:val="95"/>
        <w:numPr>
          <w:ilvl w:val="3"/>
          <w:numId w:val="0"/>
        </w:numPr>
        <w:rPr>
          <w:highlight w:val="none"/>
        </w:rPr>
      </w:pPr>
      <w:r>
        <w:rPr>
          <w:highlight w:val="none"/>
        </w:rPr>
        <w:t>表2.7-7</w:t>
      </w:r>
      <w:r>
        <w:rPr>
          <w:rFonts w:hint="eastAsia"/>
          <w:highlight w:val="none"/>
        </w:rPr>
        <w:t>主要技术参数</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7740"/>
      </w:tblGrid>
      <w:tr w14:paraId="15F5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4E8E6F21">
            <w:pPr>
              <w:pStyle w:val="121"/>
              <w:rPr>
                <w:highlight w:val="none"/>
              </w:rPr>
            </w:pPr>
            <w:r>
              <w:rPr>
                <w:rFonts w:hint="eastAsia"/>
                <w:highlight w:val="none"/>
              </w:rPr>
              <w:t>设备</w:t>
            </w:r>
          </w:p>
        </w:tc>
        <w:tc>
          <w:tcPr>
            <w:tcW w:w="3927" w:type="pct"/>
            <w:shd w:val="clear" w:color="auto" w:fill="auto"/>
            <w:noWrap/>
            <w:vAlign w:val="center"/>
          </w:tcPr>
          <w:p w14:paraId="415A9BFE">
            <w:pPr>
              <w:pStyle w:val="121"/>
              <w:rPr>
                <w:highlight w:val="none"/>
              </w:rPr>
            </w:pPr>
            <w:r>
              <w:rPr>
                <w:rFonts w:hint="eastAsia"/>
                <w:highlight w:val="none"/>
              </w:rPr>
              <w:t>技术参数</w:t>
            </w:r>
          </w:p>
        </w:tc>
      </w:tr>
      <w:tr w14:paraId="3881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7995E28E">
            <w:pPr>
              <w:pStyle w:val="121"/>
              <w:rPr>
                <w:szCs w:val="28"/>
                <w:highlight w:val="none"/>
              </w:rPr>
            </w:pPr>
            <w:r>
              <w:rPr>
                <w:rFonts w:hint="eastAsia"/>
                <w:szCs w:val="28"/>
                <w:highlight w:val="none"/>
              </w:rPr>
              <w:t>链板输送机</w:t>
            </w:r>
          </w:p>
        </w:tc>
        <w:tc>
          <w:tcPr>
            <w:tcW w:w="3927" w:type="pct"/>
            <w:shd w:val="clear" w:color="auto" w:fill="auto"/>
            <w:vAlign w:val="center"/>
          </w:tcPr>
          <w:p w14:paraId="0F9969EC">
            <w:pPr>
              <w:pStyle w:val="121"/>
              <w:rPr>
                <w:highlight w:val="none"/>
              </w:rPr>
            </w:pPr>
            <w:r>
              <w:rPr>
                <w:rFonts w:hint="eastAsia"/>
                <w:highlight w:val="none"/>
              </w:rPr>
              <w:t>板链输送机宽度：1790mm</w:t>
            </w:r>
          </w:p>
          <w:p w14:paraId="2C407EA1">
            <w:pPr>
              <w:pStyle w:val="121"/>
              <w:rPr>
                <w:highlight w:val="none"/>
              </w:rPr>
            </w:pPr>
            <w:r>
              <w:rPr>
                <w:rFonts w:hint="eastAsia"/>
                <w:highlight w:val="none"/>
              </w:rPr>
              <w:t>输送速度：0-25m/min（变频调速）</w:t>
            </w:r>
          </w:p>
          <w:p w14:paraId="3F031132">
            <w:pPr>
              <w:pStyle w:val="121"/>
              <w:rPr>
                <w:szCs w:val="28"/>
                <w:highlight w:val="none"/>
              </w:rPr>
            </w:pPr>
            <w:r>
              <w:rPr>
                <w:rFonts w:hint="eastAsia"/>
                <w:szCs w:val="28"/>
                <w:highlight w:val="none"/>
              </w:rPr>
              <w:t>输送物品最大重量：800kg/m2</w:t>
            </w:r>
            <w:r>
              <w:rPr>
                <w:rFonts w:hint="eastAsia"/>
                <w:szCs w:val="28"/>
                <w:highlight w:val="none"/>
              </w:rPr>
              <w:br w:type="textWrapping"/>
            </w:r>
            <w:r>
              <w:rPr>
                <w:rFonts w:hint="eastAsia"/>
                <w:szCs w:val="28"/>
                <w:highlight w:val="none"/>
              </w:rPr>
              <w:t>金属板链工作环境温度：-20℃~+120℃</w:t>
            </w:r>
          </w:p>
        </w:tc>
      </w:tr>
    </w:tbl>
    <w:p w14:paraId="05A59E58">
      <w:pPr>
        <w:pStyle w:val="103"/>
        <w:numPr>
          <w:ilvl w:val="2"/>
          <w:numId w:val="0"/>
        </w:numPr>
        <w:ind w:firstLine="426"/>
        <w:rPr>
          <w:highlight w:val="none"/>
        </w:rPr>
      </w:pPr>
      <w:r>
        <w:rPr>
          <w:rFonts w:hint="eastAsia"/>
          <w:highlight w:val="none"/>
        </w:rPr>
        <w:t>7.9卧式打包机</w:t>
      </w:r>
    </w:p>
    <w:p w14:paraId="5F9FF2B7">
      <w:pPr>
        <w:ind w:firstLine="480"/>
        <w:rPr>
          <w:highlight w:val="none"/>
        </w:rPr>
      </w:pPr>
      <w:r>
        <w:rPr>
          <w:rFonts w:hint="eastAsia"/>
          <w:highlight w:val="none"/>
        </w:rPr>
        <w:t>7.9.1</w:t>
      </w:r>
      <w:r>
        <w:rPr>
          <w:highlight w:val="none"/>
        </w:rPr>
        <w:t>卧式打包机由链板输送机上料，加料至一定量时设备感应物料并触发进行</w:t>
      </w:r>
      <w:r>
        <w:rPr>
          <w:rFonts w:hint="eastAsia"/>
          <w:highlight w:val="none"/>
        </w:rPr>
        <w:t>自动</w:t>
      </w:r>
      <w:r>
        <w:rPr>
          <w:highlight w:val="none"/>
        </w:rPr>
        <w:t>打包工作。利用液压马达的驱动力实现对物料的多次压缩，最终形成包块状。</w:t>
      </w:r>
    </w:p>
    <w:p w14:paraId="4BD78928">
      <w:pPr>
        <w:ind w:firstLine="480"/>
        <w:rPr>
          <w:highlight w:val="none"/>
        </w:rPr>
      </w:pPr>
      <w:r>
        <w:rPr>
          <w:rFonts w:hint="eastAsia"/>
          <w:highlight w:val="none"/>
        </w:rPr>
        <w:t>7.9.2</w:t>
      </w:r>
      <w:r>
        <w:rPr>
          <w:highlight w:val="none"/>
        </w:rPr>
        <w:t>该设备适用于各种纸类、塑料、纤维、海绵、布料等多种常规物料的压缩打包；广泛应用于各类工厂、回收处理等行业。</w:t>
      </w:r>
    </w:p>
    <w:p w14:paraId="42C1AC7D">
      <w:pPr>
        <w:pStyle w:val="95"/>
        <w:numPr>
          <w:ilvl w:val="3"/>
          <w:numId w:val="0"/>
        </w:numPr>
        <w:rPr>
          <w:highlight w:val="none"/>
        </w:rPr>
      </w:pPr>
      <w:r>
        <w:rPr>
          <w:highlight w:val="none"/>
        </w:rPr>
        <w:t>表2.7-8</w:t>
      </w:r>
      <w:r>
        <w:rPr>
          <w:rFonts w:hint="eastAsia"/>
          <w:highlight w:val="none"/>
        </w:rPr>
        <w:t>主要技术参数</w:t>
      </w:r>
    </w:p>
    <w:tbl>
      <w:tblPr>
        <w:tblStyle w:val="42"/>
        <w:tblW w:w="4999" w:type="pct"/>
        <w:tblInd w:w="0" w:type="dxa"/>
        <w:tblLayout w:type="autofit"/>
        <w:tblCellMar>
          <w:top w:w="0" w:type="dxa"/>
          <w:left w:w="108" w:type="dxa"/>
          <w:bottom w:w="0" w:type="dxa"/>
          <w:right w:w="108" w:type="dxa"/>
        </w:tblCellMar>
      </w:tblPr>
      <w:tblGrid>
        <w:gridCol w:w="2114"/>
        <w:gridCol w:w="7739"/>
      </w:tblGrid>
      <w:tr w14:paraId="0D7D601F">
        <w:tblPrEx>
          <w:tblCellMar>
            <w:top w:w="0" w:type="dxa"/>
            <w:left w:w="108" w:type="dxa"/>
            <w:bottom w:w="0" w:type="dxa"/>
            <w:right w:w="108" w:type="dxa"/>
          </w:tblCellMar>
        </w:tblPrEx>
        <w:trPr>
          <w:trHeight w:val="500" w:hRule="atLeast"/>
        </w:trPr>
        <w:tc>
          <w:tcPr>
            <w:tcW w:w="107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395F1E">
            <w:pPr>
              <w:pStyle w:val="121"/>
              <w:rPr>
                <w:highlight w:val="none"/>
              </w:rPr>
            </w:pPr>
            <w:r>
              <w:rPr>
                <w:rFonts w:hint="eastAsia"/>
                <w:highlight w:val="none"/>
              </w:rPr>
              <w:t>设备</w:t>
            </w:r>
          </w:p>
        </w:tc>
        <w:tc>
          <w:tcPr>
            <w:tcW w:w="3927" w:type="pct"/>
            <w:tcBorders>
              <w:top w:val="single" w:color="auto" w:sz="4" w:space="0"/>
              <w:left w:val="nil"/>
              <w:bottom w:val="single" w:color="auto" w:sz="4" w:space="0"/>
              <w:right w:val="single" w:color="auto" w:sz="4" w:space="0"/>
            </w:tcBorders>
            <w:shd w:val="clear" w:color="auto" w:fill="auto"/>
            <w:noWrap/>
            <w:vAlign w:val="center"/>
          </w:tcPr>
          <w:p w14:paraId="717B0381">
            <w:pPr>
              <w:pStyle w:val="121"/>
              <w:rPr>
                <w:highlight w:val="none"/>
              </w:rPr>
            </w:pPr>
            <w:r>
              <w:rPr>
                <w:rFonts w:hint="eastAsia"/>
                <w:highlight w:val="none"/>
              </w:rPr>
              <w:t>关键参数</w:t>
            </w:r>
          </w:p>
        </w:tc>
      </w:tr>
      <w:tr w14:paraId="6B2E1E81">
        <w:tblPrEx>
          <w:tblCellMar>
            <w:top w:w="0" w:type="dxa"/>
            <w:left w:w="108" w:type="dxa"/>
            <w:bottom w:w="0" w:type="dxa"/>
            <w:right w:w="108" w:type="dxa"/>
          </w:tblCellMar>
        </w:tblPrEx>
        <w:trPr>
          <w:trHeight w:val="500" w:hRule="atLeast"/>
        </w:trPr>
        <w:tc>
          <w:tcPr>
            <w:tcW w:w="1073" w:type="pct"/>
            <w:tcBorders>
              <w:top w:val="nil"/>
              <w:left w:val="single" w:color="auto" w:sz="4" w:space="0"/>
              <w:bottom w:val="single" w:color="auto" w:sz="4" w:space="0"/>
              <w:right w:val="single" w:color="auto" w:sz="4" w:space="0"/>
            </w:tcBorders>
            <w:shd w:val="clear" w:color="auto" w:fill="auto"/>
            <w:noWrap/>
            <w:vAlign w:val="center"/>
          </w:tcPr>
          <w:p w14:paraId="1F88CFAD">
            <w:pPr>
              <w:pStyle w:val="121"/>
              <w:rPr>
                <w:highlight w:val="none"/>
              </w:rPr>
            </w:pPr>
            <w:r>
              <w:rPr>
                <w:rFonts w:hint="eastAsia"/>
                <w:highlight w:val="none"/>
              </w:rPr>
              <w:t>卧式打包机</w:t>
            </w:r>
          </w:p>
        </w:tc>
        <w:tc>
          <w:tcPr>
            <w:tcW w:w="3927" w:type="pct"/>
            <w:tcBorders>
              <w:top w:val="nil"/>
              <w:left w:val="nil"/>
              <w:bottom w:val="single" w:color="auto" w:sz="4" w:space="0"/>
              <w:right w:val="single" w:color="auto" w:sz="4" w:space="0"/>
            </w:tcBorders>
            <w:shd w:val="clear" w:color="auto" w:fill="auto"/>
            <w:vAlign w:val="center"/>
          </w:tcPr>
          <w:p w14:paraId="328CB535">
            <w:pPr>
              <w:pStyle w:val="121"/>
              <w:rPr>
                <w:highlight w:val="none"/>
              </w:rPr>
            </w:pPr>
            <w:r>
              <w:rPr>
                <w:rFonts w:hint="eastAsia"/>
                <w:highlight w:val="none"/>
              </w:rPr>
              <w:t>压缩力：200T</w:t>
            </w:r>
          </w:p>
          <w:p w14:paraId="6658F713">
            <w:pPr>
              <w:pStyle w:val="121"/>
              <w:rPr>
                <w:highlight w:val="none"/>
              </w:rPr>
            </w:pPr>
            <w:r>
              <w:rPr>
                <w:rFonts w:hint="eastAsia"/>
                <w:highlight w:val="none"/>
              </w:rPr>
              <w:t>包块尺寸：1120mm（W）*1250mm（H）</w:t>
            </w:r>
          </w:p>
          <w:p w14:paraId="26F90F19">
            <w:pPr>
              <w:pStyle w:val="121"/>
              <w:rPr>
                <w:highlight w:val="none"/>
              </w:rPr>
            </w:pPr>
            <w:r>
              <w:rPr>
                <w:rFonts w:hint="eastAsia"/>
                <w:highlight w:val="none"/>
              </w:rPr>
              <w:t>出包方式：液压出包平台</w:t>
            </w:r>
          </w:p>
          <w:p w14:paraId="2547CF7A">
            <w:pPr>
              <w:pStyle w:val="121"/>
              <w:rPr>
                <w:highlight w:val="none"/>
              </w:rPr>
            </w:pPr>
            <w:r>
              <w:rPr>
                <w:rFonts w:hint="eastAsia"/>
                <w:highlight w:val="none"/>
              </w:rPr>
              <w:t>捆包方式：7线，（退火铁丝或尼龙线）</w:t>
            </w:r>
          </w:p>
        </w:tc>
      </w:tr>
    </w:tbl>
    <w:p w14:paraId="23486C0E">
      <w:pPr>
        <w:pStyle w:val="103"/>
        <w:numPr>
          <w:ilvl w:val="2"/>
          <w:numId w:val="0"/>
        </w:numPr>
        <w:ind w:firstLine="426"/>
        <w:rPr>
          <w:highlight w:val="none"/>
        </w:rPr>
      </w:pPr>
      <w:r>
        <w:rPr>
          <w:rFonts w:hint="eastAsia"/>
          <w:highlight w:val="none"/>
        </w:rPr>
        <w:t>7.10泡沫冷压线</w:t>
      </w:r>
    </w:p>
    <w:p w14:paraId="2D63D70E">
      <w:pPr>
        <w:ind w:firstLine="480"/>
        <w:rPr>
          <w:highlight w:val="none"/>
        </w:rPr>
      </w:pPr>
      <w:r>
        <w:rPr>
          <w:rFonts w:hint="eastAsia"/>
          <w:highlight w:val="none"/>
        </w:rPr>
        <w:t>7.10.1泡沫冷压线</w:t>
      </w:r>
      <w:r>
        <w:rPr>
          <w:highlight w:val="none"/>
        </w:rPr>
        <w:t>主要设备含</w:t>
      </w:r>
      <w:r>
        <w:rPr>
          <w:rFonts w:hint="eastAsia"/>
          <w:highlight w:val="none"/>
        </w:rPr>
        <w:t>带式输送机、泡沫破碎机</w:t>
      </w:r>
      <w:r>
        <w:rPr>
          <w:highlight w:val="none"/>
        </w:rPr>
        <w:t>、</w:t>
      </w:r>
      <w:r>
        <w:rPr>
          <w:rFonts w:hint="eastAsia"/>
          <w:highlight w:val="none"/>
        </w:rPr>
        <w:t>吹料机</w:t>
      </w:r>
      <w:r>
        <w:rPr>
          <w:highlight w:val="none"/>
        </w:rPr>
        <w:t>、料仓、泡沫冷压机、智能操控系统等。</w:t>
      </w:r>
    </w:p>
    <w:p w14:paraId="1F03273B">
      <w:pPr>
        <w:ind w:firstLine="480"/>
        <w:rPr>
          <w:highlight w:val="none"/>
        </w:rPr>
      </w:pPr>
      <w:r>
        <w:rPr>
          <w:rFonts w:hint="eastAsia"/>
          <w:highlight w:val="none"/>
        </w:rPr>
        <w:t>7.10.2泡沫冷压依据螺旋旋转发生压力原理揉捏泡沫塑料，对其进行冷压紧缩处理；在没有加热的情况下直接对EPS泡沫、冰箱内胆、PU发泡棉进行推料挤压压缩，消减泡沫体积达到50：1的压缩比例；泡沫冷压能有效解决泡沫质量轻、体积大、回收困难以及运输不便的难题。</w:t>
      </w:r>
    </w:p>
    <w:p w14:paraId="69229CE6">
      <w:pPr>
        <w:ind w:firstLine="480"/>
        <w:rPr>
          <w:highlight w:val="none"/>
        </w:rPr>
      </w:pPr>
      <w:r>
        <w:rPr>
          <w:rFonts w:hint="eastAsia"/>
          <w:highlight w:val="none"/>
        </w:rPr>
        <w:t>7.10.3破碎后的泡沫小块经吹料机</w:t>
      </w:r>
      <w:r>
        <w:rPr>
          <w:highlight w:val="none"/>
        </w:rPr>
        <w:t>送入</w:t>
      </w:r>
      <w:r>
        <w:rPr>
          <w:rFonts w:hint="eastAsia"/>
          <w:highlight w:val="none"/>
        </w:rPr>
        <w:t>料仓，料仓内的泡沫</w:t>
      </w:r>
      <w:r>
        <w:rPr>
          <w:highlight w:val="none"/>
        </w:rPr>
        <w:t>逐步下落</w:t>
      </w:r>
      <w:r>
        <w:rPr>
          <w:rFonts w:hint="eastAsia"/>
          <w:highlight w:val="none"/>
        </w:rPr>
        <w:t>进入泡沫压缩机，被</w:t>
      </w:r>
      <w:r>
        <w:rPr>
          <w:highlight w:val="none"/>
        </w:rPr>
        <w:t>压缩成泡沫压块，在此过程中设备对物料成块速度进行监测并调整压缩速度防止压缩过快导致物料热熔，最后一定长度压块被切断并堆存处理。</w:t>
      </w:r>
    </w:p>
    <w:p w14:paraId="7E13814F">
      <w:pPr>
        <w:pStyle w:val="95"/>
        <w:numPr>
          <w:ilvl w:val="3"/>
          <w:numId w:val="0"/>
        </w:numPr>
        <w:rPr>
          <w:highlight w:val="none"/>
        </w:rPr>
      </w:pPr>
      <w:r>
        <w:rPr>
          <w:highlight w:val="none"/>
        </w:rPr>
        <w:t>表2.7-9</w:t>
      </w:r>
      <w:r>
        <w:rPr>
          <w:rFonts w:hint="eastAsia"/>
          <w:highlight w:val="none"/>
        </w:rPr>
        <w:t>主要技术参数</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7740"/>
      </w:tblGrid>
      <w:tr w14:paraId="1E18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0" w:hRule="atLeast"/>
        </w:trPr>
        <w:tc>
          <w:tcPr>
            <w:tcW w:w="1073" w:type="pct"/>
            <w:shd w:val="clear" w:color="auto" w:fill="auto"/>
            <w:noWrap/>
            <w:vAlign w:val="center"/>
          </w:tcPr>
          <w:p w14:paraId="32628942">
            <w:pPr>
              <w:pStyle w:val="121"/>
              <w:rPr>
                <w:highlight w:val="none"/>
              </w:rPr>
            </w:pPr>
            <w:r>
              <w:rPr>
                <w:rFonts w:hint="eastAsia"/>
                <w:highlight w:val="none"/>
              </w:rPr>
              <w:t>设备</w:t>
            </w:r>
          </w:p>
        </w:tc>
        <w:tc>
          <w:tcPr>
            <w:tcW w:w="3927" w:type="pct"/>
            <w:shd w:val="clear" w:color="auto" w:fill="auto"/>
            <w:noWrap/>
            <w:vAlign w:val="center"/>
          </w:tcPr>
          <w:p w14:paraId="0E9710B2">
            <w:pPr>
              <w:pStyle w:val="121"/>
              <w:rPr>
                <w:highlight w:val="none"/>
              </w:rPr>
            </w:pPr>
            <w:r>
              <w:rPr>
                <w:rFonts w:hint="eastAsia"/>
                <w:highlight w:val="none"/>
              </w:rPr>
              <w:t>关键参数</w:t>
            </w:r>
          </w:p>
        </w:tc>
      </w:tr>
      <w:tr w14:paraId="68A6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7C90FCB0">
            <w:pPr>
              <w:pStyle w:val="121"/>
              <w:rPr>
                <w:highlight w:val="none"/>
              </w:rPr>
            </w:pPr>
            <w:r>
              <w:rPr>
                <w:rFonts w:hint="eastAsia"/>
                <w:highlight w:val="none"/>
              </w:rPr>
              <w:t>泡沫冷压线</w:t>
            </w:r>
          </w:p>
        </w:tc>
        <w:tc>
          <w:tcPr>
            <w:tcW w:w="3927" w:type="pct"/>
            <w:shd w:val="clear" w:color="auto" w:fill="auto"/>
            <w:vAlign w:val="center"/>
          </w:tcPr>
          <w:p w14:paraId="617C5561">
            <w:pPr>
              <w:pStyle w:val="121"/>
              <w:rPr>
                <w:highlight w:val="none"/>
              </w:rPr>
            </w:pPr>
            <w:r>
              <w:rPr>
                <w:rFonts w:hint="eastAsia"/>
                <w:highlight w:val="none"/>
              </w:rPr>
              <w:t>冷压机产量：≥500kg/小时</w:t>
            </w:r>
          </w:p>
          <w:p w14:paraId="045721A1">
            <w:pPr>
              <w:pStyle w:val="121"/>
              <w:rPr>
                <w:highlight w:val="none"/>
              </w:rPr>
            </w:pPr>
            <w:r>
              <w:rPr>
                <w:rFonts w:hint="eastAsia"/>
                <w:highlight w:val="none"/>
              </w:rPr>
              <w:t>粉碎机产量：1000-1500kg/小时</w:t>
            </w:r>
          </w:p>
          <w:p w14:paraId="5B2AEDF6">
            <w:pPr>
              <w:pStyle w:val="121"/>
              <w:rPr>
                <w:highlight w:val="none"/>
              </w:rPr>
            </w:pPr>
            <w:r>
              <w:rPr>
                <w:rFonts w:hint="eastAsia"/>
                <w:highlight w:val="none"/>
              </w:rPr>
              <w:t>压缩密度：320-380kg/m³</w:t>
            </w:r>
          </w:p>
        </w:tc>
      </w:tr>
    </w:tbl>
    <w:p w14:paraId="1811BE9E">
      <w:pPr>
        <w:pStyle w:val="103"/>
        <w:numPr>
          <w:ilvl w:val="2"/>
          <w:numId w:val="0"/>
        </w:numPr>
        <w:ind w:firstLine="426"/>
        <w:rPr>
          <w:highlight w:val="none"/>
        </w:rPr>
      </w:pPr>
      <w:r>
        <w:rPr>
          <w:rFonts w:hint="eastAsia"/>
          <w:highlight w:val="none"/>
        </w:rPr>
        <w:t>7.11中地磅</w:t>
      </w:r>
    </w:p>
    <w:p w14:paraId="022A51D8">
      <w:pPr>
        <w:ind w:firstLine="480"/>
        <w:rPr>
          <w:highlight w:val="none"/>
        </w:rPr>
      </w:pPr>
      <w:r>
        <w:rPr>
          <w:rFonts w:hint="eastAsia"/>
          <w:highlight w:val="none"/>
        </w:rPr>
        <w:t>7.11.1</w:t>
      </w:r>
      <w:r>
        <w:rPr>
          <w:highlight w:val="none"/>
        </w:rPr>
        <w:t>地磅，也被称为汽车衡或电子衡器磅秤，是一种安装在地面上的大型称重设备。它在分拣中心的主要作用是测量货物或车辆的重量，通常以吨为单位进行计量。地磅用于检测货运车辆是否超载，确保运输安全，同时也用于大宗货物的计量和分拣。</w:t>
      </w:r>
    </w:p>
    <w:p w14:paraId="6AA593D0">
      <w:pPr>
        <w:ind w:firstLine="480"/>
        <w:rPr>
          <w:highlight w:val="none"/>
        </w:rPr>
      </w:pPr>
      <w:r>
        <w:rPr>
          <w:rFonts w:hint="eastAsia"/>
          <w:highlight w:val="none"/>
        </w:rPr>
        <w:t>7.11.2室内</w:t>
      </w:r>
      <w:r>
        <w:rPr>
          <w:highlight w:val="none"/>
        </w:rPr>
        <w:t>设置</w:t>
      </w:r>
      <w:r>
        <w:rPr>
          <w:rFonts w:hint="eastAsia"/>
          <w:highlight w:val="none"/>
        </w:rPr>
        <w:t>1套中地磅</w:t>
      </w:r>
      <w:r>
        <w:rPr>
          <w:highlight w:val="none"/>
        </w:rPr>
        <w:t>。最大称量:20T；2.5m*5m，地埋式无人值守，双向称重。</w:t>
      </w:r>
    </w:p>
    <w:p w14:paraId="17923836">
      <w:pPr>
        <w:pStyle w:val="95"/>
        <w:numPr>
          <w:ilvl w:val="3"/>
          <w:numId w:val="0"/>
        </w:numPr>
        <w:rPr>
          <w:highlight w:val="none"/>
        </w:rPr>
      </w:pPr>
      <w:r>
        <w:rPr>
          <w:highlight w:val="none"/>
        </w:rPr>
        <w:t>表2.7-10</w:t>
      </w:r>
      <w:r>
        <w:rPr>
          <w:rFonts w:hint="eastAsia"/>
          <w:highlight w:val="none"/>
        </w:rPr>
        <w:t>主要技术参数</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7740"/>
      </w:tblGrid>
      <w:tr w14:paraId="50BA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2C541D58">
            <w:pPr>
              <w:pStyle w:val="121"/>
              <w:rPr>
                <w:highlight w:val="none"/>
              </w:rPr>
            </w:pPr>
            <w:r>
              <w:rPr>
                <w:rFonts w:hint="eastAsia"/>
                <w:highlight w:val="none"/>
              </w:rPr>
              <w:t>设备</w:t>
            </w:r>
          </w:p>
        </w:tc>
        <w:tc>
          <w:tcPr>
            <w:tcW w:w="3927" w:type="pct"/>
            <w:shd w:val="clear" w:color="auto" w:fill="auto"/>
            <w:noWrap/>
            <w:vAlign w:val="center"/>
          </w:tcPr>
          <w:p w14:paraId="663D58AA">
            <w:pPr>
              <w:pStyle w:val="121"/>
              <w:rPr>
                <w:highlight w:val="none"/>
              </w:rPr>
            </w:pPr>
            <w:r>
              <w:rPr>
                <w:rFonts w:hint="eastAsia"/>
                <w:highlight w:val="none"/>
              </w:rPr>
              <w:t>关键参数</w:t>
            </w:r>
          </w:p>
        </w:tc>
      </w:tr>
      <w:tr w14:paraId="13D9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7664B997">
            <w:pPr>
              <w:pStyle w:val="121"/>
              <w:rPr>
                <w:highlight w:val="none"/>
              </w:rPr>
            </w:pPr>
            <w:r>
              <w:rPr>
                <w:rFonts w:hint="eastAsia"/>
                <w:highlight w:val="none"/>
              </w:rPr>
              <w:t>中地磅</w:t>
            </w:r>
          </w:p>
        </w:tc>
        <w:tc>
          <w:tcPr>
            <w:tcW w:w="3927" w:type="pct"/>
            <w:shd w:val="clear" w:color="auto" w:fill="auto"/>
            <w:vAlign w:val="center"/>
          </w:tcPr>
          <w:p w14:paraId="0E56837C">
            <w:pPr>
              <w:pStyle w:val="121"/>
              <w:rPr>
                <w:highlight w:val="none"/>
              </w:rPr>
            </w:pPr>
            <w:r>
              <w:rPr>
                <w:rFonts w:hint="eastAsia"/>
                <w:highlight w:val="none"/>
              </w:rPr>
              <w:t>最大称量：20T；</w:t>
            </w:r>
            <w:r>
              <w:rPr>
                <w:rFonts w:hint="eastAsia"/>
                <w:highlight w:val="none"/>
              </w:rPr>
              <w:br w:type="textWrapping"/>
            </w:r>
            <w:r>
              <w:rPr>
                <w:rFonts w:hint="eastAsia"/>
                <w:highlight w:val="none"/>
              </w:rPr>
              <w:t>长、宽：2.5m*5m</w:t>
            </w:r>
          </w:p>
          <w:p w14:paraId="4E9ECCC0">
            <w:pPr>
              <w:pStyle w:val="121"/>
              <w:rPr>
                <w:highlight w:val="none"/>
              </w:rPr>
            </w:pPr>
            <w:r>
              <w:rPr>
                <w:rFonts w:hint="eastAsia"/>
                <w:highlight w:val="none"/>
              </w:rPr>
              <w:t>信号最大传输距离：1000m</w:t>
            </w:r>
            <w:r>
              <w:rPr>
                <w:rFonts w:hint="eastAsia"/>
                <w:highlight w:val="none"/>
              </w:rPr>
              <w:br w:type="textWrapping"/>
            </w:r>
            <w:r>
              <w:rPr>
                <w:rFonts w:hint="eastAsia"/>
                <w:highlight w:val="none"/>
              </w:rPr>
              <w:t>工作温度范围:仪表：-10℃~+45℃</w:t>
            </w:r>
            <w:r>
              <w:rPr>
                <w:rFonts w:hint="eastAsia"/>
                <w:highlight w:val="none"/>
              </w:rPr>
              <w:br w:type="textWrapping"/>
            </w:r>
            <w:r>
              <w:rPr>
                <w:rFonts w:hint="eastAsia"/>
                <w:highlight w:val="none"/>
              </w:rPr>
              <w:t>秤台刚度：优于1/1000</w:t>
            </w:r>
            <w:r>
              <w:rPr>
                <w:rFonts w:hint="eastAsia"/>
                <w:highlight w:val="none"/>
              </w:rPr>
              <w:br w:type="textWrapping"/>
            </w:r>
            <w:r>
              <w:rPr>
                <w:rFonts w:hint="eastAsia"/>
                <w:highlight w:val="none"/>
              </w:rPr>
              <w:t>安全过载：≥150%</w:t>
            </w:r>
            <w:r>
              <w:rPr>
                <w:rFonts w:hint="eastAsia"/>
                <w:highlight w:val="none"/>
              </w:rPr>
              <w:br w:type="textWrapping"/>
            </w:r>
            <w:r>
              <w:rPr>
                <w:rFonts w:hint="eastAsia"/>
                <w:highlight w:val="none"/>
              </w:rPr>
              <w:t>传感器：-20℃~+60℃</w:t>
            </w:r>
            <w:r>
              <w:rPr>
                <w:rFonts w:hint="eastAsia"/>
                <w:highlight w:val="none"/>
              </w:rPr>
              <w:br w:type="textWrapping"/>
            </w:r>
            <w:r>
              <w:rPr>
                <w:rFonts w:hint="eastAsia"/>
                <w:highlight w:val="none"/>
              </w:rPr>
              <w:t>适应工作环境相对湿度:≤95%</w:t>
            </w:r>
            <w:r>
              <w:rPr>
                <w:rFonts w:hint="eastAsia"/>
                <w:highlight w:val="none"/>
              </w:rPr>
              <w:br w:type="textWrapping"/>
            </w:r>
            <w:r>
              <w:rPr>
                <w:rFonts w:hint="eastAsia"/>
                <w:highlight w:val="none"/>
              </w:rPr>
              <w:t>防护等级:IP66；</w:t>
            </w:r>
            <w:r>
              <w:rPr>
                <w:rFonts w:hint="eastAsia"/>
                <w:highlight w:val="none"/>
              </w:rPr>
              <w:br w:type="textWrapping"/>
            </w:r>
            <w:r>
              <w:rPr>
                <w:rFonts w:hint="eastAsia"/>
                <w:highlight w:val="none"/>
              </w:rPr>
              <w:t>工作方式:静态称量</w:t>
            </w:r>
          </w:p>
        </w:tc>
      </w:tr>
    </w:tbl>
    <w:p w14:paraId="472E8034">
      <w:pPr>
        <w:ind w:firstLine="480"/>
        <w:rPr>
          <w:highlight w:val="none"/>
        </w:rPr>
      </w:pPr>
    </w:p>
    <w:p w14:paraId="32E97E1C">
      <w:pPr>
        <w:pStyle w:val="103"/>
        <w:numPr>
          <w:ilvl w:val="2"/>
          <w:numId w:val="0"/>
        </w:numPr>
        <w:ind w:firstLine="426"/>
        <w:rPr>
          <w:highlight w:val="none"/>
        </w:rPr>
      </w:pPr>
      <w:r>
        <w:rPr>
          <w:rFonts w:hint="eastAsia"/>
          <w:highlight w:val="none"/>
        </w:rPr>
        <w:t>7.12磅房</w:t>
      </w:r>
    </w:p>
    <w:p w14:paraId="0923EAAC">
      <w:pPr>
        <w:ind w:firstLine="480"/>
        <w:rPr>
          <w:highlight w:val="none"/>
        </w:rPr>
      </w:pPr>
      <w:r>
        <w:rPr>
          <w:rFonts w:hint="eastAsia" w:cs="宋体"/>
          <w:kern w:val="0"/>
          <w:szCs w:val="24"/>
          <w:highlight w:val="none"/>
        </w:rPr>
        <w:t>7.12.1磅房，用于过磅人员办公、休息。位于室内地磅旁边。为成品磅房。</w:t>
      </w:r>
    </w:p>
    <w:p w14:paraId="2ECB388F">
      <w:pPr>
        <w:pStyle w:val="95"/>
        <w:numPr>
          <w:ilvl w:val="3"/>
          <w:numId w:val="0"/>
        </w:numPr>
        <w:rPr>
          <w:highlight w:val="none"/>
        </w:rPr>
      </w:pPr>
      <w:r>
        <w:rPr>
          <w:highlight w:val="none"/>
        </w:rPr>
        <w:t>表2.7-11</w:t>
      </w:r>
      <w:r>
        <w:rPr>
          <w:rFonts w:hint="eastAsia"/>
          <w:highlight w:val="none"/>
        </w:rPr>
        <w:t>主要技术参数</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7740"/>
      </w:tblGrid>
      <w:tr w14:paraId="2916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30E08D9F">
            <w:pPr>
              <w:pStyle w:val="281"/>
              <w:rPr>
                <w:highlight w:val="none"/>
              </w:rPr>
            </w:pPr>
            <w:r>
              <w:rPr>
                <w:rFonts w:hint="eastAsia"/>
                <w:highlight w:val="none"/>
              </w:rPr>
              <w:t>设备</w:t>
            </w:r>
          </w:p>
        </w:tc>
        <w:tc>
          <w:tcPr>
            <w:tcW w:w="3927" w:type="pct"/>
            <w:shd w:val="clear" w:color="auto" w:fill="auto"/>
            <w:noWrap/>
            <w:vAlign w:val="center"/>
          </w:tcPr>
          <w:p w14:paraId="17E8CB06">
            <w:pPr>
              <w:pStyle w:val="281"/>
              <w:rPr>
                <w:highlight w:val="none"/>
              </w:rPr>
            </w:pPr>
            <w:r>
              <w:rPr>
                <w:rFonts w:hint="eastAsia"/>
                <w:highlight w:val="none"/>
              </w:rPr>
              <w:t>关键参数</w:t>
            </w:r>
          </w:p>
        </w:tc>
      </w:tr>
      <w:tr w14:paraId="446A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7D60317C">
            <w:pPr>
              <w:pStyle w:val="281"/>
              <w:rPr>
                <w:highlight w:val="none"/>
              </w:rPr>
            </w:pPr>
            <w:r>
              <w:rPr>
                <w:rFonts w:hint="eastAsia"/>
                <w:highlight w:val="none"/>
              </w:rPr>
              <w:t>磅房</w:t>
            </w:r>
          </w:p>
        </w:tc>
        <w:tc>
          <w:tcPr>
            <w:tcW w:w="3927" w:type="pct"/>
            <w:shd w:val="clear" w:color="auto" w:fill="auto"/>
            <w:vAlign w:val="center"/>
          </w:tcPr>
          <w:p w14:paraId="7635F00F">
            <w:pPr>
              <w:pStyle w:val="281"/>
              <w:rPr>
                <w:highlight w:val="none"/>
              </w:rPr>
            </w:pPr>
            <w:r>
              <w:rPr>
                <w:rFonts w:hint="eastAsia"/>
                <w:highlight w:val="none"/>
              </w:rPr>
              <w:t>长、宽：3m*3m</w:t>
            </w:r>
            <w:r>
              <w:rPr>
                <w:rFonts w:hint="eastAsia"/>
                <w:highlight w:val="none"/>
              </w:rPr>
              <w:br w:type="textWrapping"/>
            </w:r>
            <w:r>
              <w:rPr>
                <w:rFonts w:hint="eastAsia"/>
                <w:highlight w:val="none"/>
              </w:rPr>
              <w:t>主体材质：彩钢板</w:t>
            </w:r>
          </w:p>
        </w:tc>
      </w:tr>
    </w:tbl>
    <w:p w14:paraId="082A8D9B">
      <w:pPr>
        <w:pStyle w:val="103"/>
        <w:numPr>
          <w:ilvl w:val="2"/>
          <w:numId w:val="0"/>
        </w:numPr>
        <w:ind w:firstLine="426"/>
        <w:rPr>
          <w:highlight w:val="none"/>
        </w:rPr>
      </w:pPr>
      <w:r>
        <w:rPr>
          <w:rFonts w:hint="eastAsia"/>
          <w:highlight w:val="none"/>
        </w:rPr>
        <w:t>7.13智能称重一体机</w:t>
      </w:r>
    </w:p>
    <w:p w14:paraId="15CC0702">
      <w:pPr>
        <w:ind w:firstLine="480"/>
        <w:rPr>
          <w:highlight w:val="none"/>
        </w:rPr>
      </w:pPr>
      <w:r>
        <w:rPr>
          <w:rFonts w:hint="eastAsia"/>
          <w:highlight w:val="none"/>
        </w:rPr>
        <w:t>7.13.1智能称重一体机连接现场地磅秤，实现对来料货物的智能过磅称重、定价、拍照取证、交易结算等功能。</w:t>
      </w:r>
    </w:p>
    <w:p w14:paraId="722343CE">
      <w:pPr>
        <w:pStyle w:val="95"/>
        <w:numPr>
          <w:ilvl w:val="3"/>
          <w:numId w:val="0"/>
        </w:numPr>
        <w:rPr>
          <w:highlight w:val="none"/>
        </w:rPr>
      </w:pPr>
      <w:r>
        <w:rPr>
          <w:highlight w:val="none"/>
        </w:rPr>
        <w:t>表2.7-12</w:t>
      </w:r>
      <w:r>
        <w:rPr>
          <w:rFonts w:hint="eastAsia"/>
          <w:highlight w:val="none"/>
        </w:rPr>
        <w:t>主要技术参数</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7740"/>
      </w:tblGrid>
      <w:tr w14:paraId="731A0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404D89F4">
            <w:pPr>
              <w:pStyle w:val="121"/>
              <w:rPr>
                <w:highlight w:val="none"/>
              </w:rPr>
            </w:pPr>
            <w:r>
              <w:rPr>
                <w:rFonts w:hint="eastAsia"/>
                <w:highlight w:val="none"/>
              </w:rPr>
              <w:t>设备</w:t>
            </w:r>
          </w:p>
        </w:tc>
        <w:tc>
          <w:tcPr>
            <w:tcW w:w="3927" w:type="pct"/>
            <w:shd w:val="clear" w:color="auto" w:fill="auto"/>
            <w:noWrap/>
            <w:vAlign w:val="center"/>
          </w:tcPr>
          <w:p w14:paraId="0A324C94">
            <w:pPr>
              <w:pStyle w:val="121"/>
              <w:rPr>
                <w:highlight w:val="none"/>
              </w:rPr>
            </w:pPr>
            <w:r>
              <w:rPr>
                <w:rFonts w:hint="eastAsia"/>
                <w:highlight w:val="none"/>
              </w:rPr>
              <w:t>关键参数</w:t>
            </w:r>
          </w:p>
        </w:tc>
      </w:tr>
      <w:tr w14:paraId="7AD8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4DF9A273">
            <w:pPr>
              <w:pStyle w:val="121"/>
              <w:rPr>
                <w:highlight w:val="none"/>
              </w:rPr>
            </w:pPr>
            <w:r>
              <w:rPr>
                <w:rFonts w:hint="eastAsia"/>
                <w:highlight w:val="none"/>
              </w:rPr>
              <w:t>智能称重一体机</w:t>
            </w:r>
          </w:p>
        </w:tc>
        <w:tc>
          <w:tcPr>
            <w:tcW w:w="3927" w:type="pct"/>
            <w:shd w:val="clear" w:color="auto" w:fill="auto"/>
            <w:vAlign w:val="center"/>
          </w:tcPr>
          <w:p w14:paraId="5CC75428">
            <w:pPr>
              <w:pStyle w:val="121"/>
              <w:rPr>
                <w:highlight w:val="none"/>
              </w:rPr>
            </w:pPr>
            <w:r>
              <w:rPr>
                <w:rFonts w:hint="eastAsia"/>
                <w:highlight w:val="none"/>
              </w:rPr>
              <w:t>尺寸大小：宽*高*厚：910*1455*905mm ，满足功能即可</w:t>
            </w:r>
          </w:p>
          <w:p w14:paraId="50EAB0F9">
            <w:pPr>
              <w:pStyle w:val="121"/>
              <w:rPr>
                <w:highlight w:val="none"/>
              </w:rPr>
            </w:pPr>
            <w:r>
              <w:rPr>
                <w:rFonts w:hint="eastAsia"/>
                <w:highlight w:val="none"/>
              </w:rPr>
              <w:t>整机重量：20kg(待定)</w:t>
            </w:r>
          </w:p>
          <w:p w14:paraId="6FC667EF">
            <w:pPr>
              <w:pStyle w:val="121"/>
              <w:rPr>
                <w:highlight w:val="none"/>
              </w:rPr>
            </w:pPr>
            <w:r>
              <w:rPr>
                <w:rFonts w:hint="eastAsia"/>
                <w:highlight w:val="none"/>
              </w:rPr>
              <w:t>接口：USB*3、RJ45*1、TF*1、SIM*1</w:t>
            </w:r>
          </w:p>
          <w:p w14:paraId="037B0F9C">
            <w:pPr>
              <w:pStyle w:val="121"/>
              <w:rPr>
                <w:highlight w:val="none"/>
              </w:rPr>
            </w:pPr>
            <w:r>
              <w:rPr>
                <w:rFonts w:hint="eastAsia"/>
                <w:highlight w:val="none"/>
              </w:rPr>
              <w:t xml:space="preserve">安装方式：立式带滚轮，底座带脚杯 </w:t>
            </w:r>
          </w:p>
          <w:p w14:paraId="344DDA36">
            <w:pPr>
              <w:pStyle w:val="121"/>
              <w:rPr>
                <w:highlight w:val="none"/>
              </w:rPr>
            </w:pPr>
            <w:r>
              <w:rPr>
                <w:rFonts w:hint="eastAsia"/>
                <w:highlight w:val="none"/>
              </w:rPr>
              <w:t>联网方式：3G/4G、WiFi(默认)、以太网</w:t>
            </w:r>
          </w:p>
          <w:p w14:paraId="46EF226A">
            <w:pPr>
              <w:pStyle w:val="121"/>
              <w:rPr>
                <w:highlight w:val="none"/>
              </w:rPr>
            </w:pPr>
            <w:r>
              <w:rPr>
                <w:rFonts w:hint="eastAsia"/>
                <w:highlight w:val="none"/>
              </w:rPr>
              <w:t>显示屏：屏幕尺寸：15.6寸TFT-LCD 横屏</w:t>
            </w:r>
          </w:p>
          <w:p w14:paraId="17D7CC3C">
            <w:pPr>
              <w:pStyle w:val="121"/>
              <w:rPr>
                <w:highlight w:val="none"/>
              </w:rPr>
            </w:pPr>
            <w:r>
              <w:rPr>
                <w:rFonts w:hint="eastAsia"/>
                <w:highlight w:val="none"/>
              </w:rPr>
              <w:t>触摸屏：触摸种类：电容触摸</w:t>
            </w:r>
          </w:p>
          <w:p w14:paraId="3F828853">
            <w:pPr>
              <w:pStyle w:val="121"/>
              <w:rPr>
                <w:highlight w:val="none"/>
              </w:rPr>
            </w:pPr>
            <w:r>
              <w:rPr>
                <w:rFonts w:hint="eastAsia"/>
                <w:highlight w:val="none"/>
              </w:rPr>
              <w:t>支持点数：多点触摸</w:t>
            </w:r>
          </w:p>
          <w:p w14:paraId="1132008C">
            <w:pPr>
              <w:pStyle w:val="121"/>
              <w:rPr>
                <w:highlight w:val="none"/>
              </w:rPr>
            </w:pPr>
            <w:r>
              <w:rPr>
                <w:rFonts w:hint="eastAsia"/>
                <w:highlight w:val="none"/>
              </w:rPr>
              <w:t>触摸方式：手指触摸/电容触摸笔</w:t>
            </w:r>
          </w:p>
          <w:p w14:paraId="2A125FA5">
            <w:pPr>
              <w:pStyle w:val="121"/>
              <w:rPr>
                <w:highlight w:val="none"/>
              </w:rPr>
            </w:pPr>
            <w:r>
              <w:rPr>
                <w:rFonts w:hint="eastAsia"/>
                <w:highlight w:val="none"/>
              </w:rPr>
              <w:t>IC&amp;二维码扫描模块：触发方式：感应/数据</w:t>
            </w:r>
          </w:p>
          <w:p w14:paraId="07B9FBAD">
            <w:pPr>
              <w:pStyle w:val="121"/>
              <w:rPr>
                <w:highlight w:val="none"/>
              </w:rPr>
            </w:pPr>
            <w:r>
              <w:rPr>
                <w:rFonts w:hint="eastAsia"/>
                <w:highlight w:val="none"/>
              </w:rPr>
              <w:t>含智能过磅一体机*1台、摄像头*2个</w:t>
            </w:r>
          </w:p>
        </w:tc>
      </w:tr>
    </w:tbl>
    <w:p w14:paraId="1B3631E1">
      <w:pPr>
        <w:pStyle w:val="103"/>
        <w:numPr>
          <w:ilvl w:val="2"/>
          <w:numId w:val="0"/>
        </w:numPr>
        <w:ind w:firstLine="426"/>
        <w:rPr>
          <w:highlight w:val="none"/>
        </w:rPr>
      </w:pPr>
      <w:r>
        <w:rPr>
          <w:rFonts w:hint="eastAsia"/>
          <w:highlight w:val="none"/>
        </w:rPr>
        <w:t>7.14夹抱式叉车</w:t>
      </w:r>
    </w:p>
    <w:p w14:paraId="308F4D69">
      <w:pPr>
        <w:ind w:firstLine="480"/>
        <w:rPr>
          <w:highlight w:val="none"/>
        </w:rPr>
      </w:pPr>
      <w:r>
        <w:rPr>
          <w:rFonts w:hint="eastAsia"/>
          <w:highlight w:val="none"/>
        </w:rPr>
        <w:t>7.14.1夹抱叉车应用于工厂、仓库、车站、码头、机场、港口等，进行成件包装货物的装卸和搬运，在配备夹抱装置后，还能用于散堆状货物和非包装的其他成件货物的装卸作业。</w:t>
      </w:r>
    </w:p>
    <w:p w14:paraId="29B74A97">
      <w:pPr>
        <w:pStyle w:val="95"/>
        <w:numPr>
          <w:ilvl w:val="3"/>
          <w:numId w:val="0"/>
        </w:numPr>
        <w:rPr>
          <w:highlight w:val="none"/>
        </w:rPr>
      </w:pPr>
      <w:r>
        <w:rPr>
          <w:highlight w:val="none"/>
        </w:rPr>
        <w:t>表2.7-13</w:t>
      </w:r>
      <w:r>
        <w:rPr>
          <w:rFonts w:hint="eastAsia"/>
          <w:highlight w:val="none"/>
        </w:rPr>
        <w:t>主要技术参数</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7740"/>
      </w:tblGrid>
      <w:tr w14:paraId="64F7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2071670E">
            <w:pPr>
              <w:pStyle w:val="121"/>
              <w:rPr>
                <w:highlight w:val="none"/>
              </w:rPr>
            </w:pPr>
            <w:r>
              <w:rPr>
                <w:rFonts w:hint="eastAsia"/>
                <w:highlight w:val="none"/>
              </w:rPr>
              <w:t>设备</w:t>
            </w:r>
          </w:p>
        </w:tc>
        <w:tc>
          <w:tcPr>
            <w:tcW w:w="3927" w:type="pct"/>
            <w:shd w:val="clear" w:color="auto" w:fill="auto"/>
            <w:noWrap/>
            <w:vAlign w:val="center"/>
          </w:tcPr>
          <w:p w14:paraId="322FA236">
            <w:pPr>
              <w:pStyle w:val="121"/>
              <w:rPr>
                <w:highlight w:val="none"/>
              </w:rPr>
            </w:pPr>
            <w:r>
              <w:rPr>
                <w:rFonts w:hint="eastAsia"/>
                <w:highlight w:val="none"/>
              </w:rPr>
              <w:t>关键参数</w:t>
            </w:r>
          </w:p>
        </w:tc>
      </w:tr>
      <w:tr w14:paraId="4BD9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73" w:type="pct"/>
            <w:shd w:val="clear" w:color="auto" w:fill="auto"/>
            <w:noWrap/>
            <w:vAlign w:val="center"/>
          </w:tcPr>
          <w:p w14:paraId="2DE21F7E">
            <w:pPr>
              <w:pStyle w:val="121"/>
              <w:rPr>
                <w:highlight w:val="none"/>
              </w:rPr>
            </w:pPr>
            <w:r>
              <w:rPr>
                <w:rFonts w:hint="eastAsia"/>
                <w:highlight w:val="none"/>
              </w:rPr>
              <w:t>夹抱式叉车</w:t>
            </w:r>
          </w:p>
        </w:tc>
        <w:tc>
          <w:tcPr>
            <w:tcW w:w="3927" w:type="pct"/>
            <w:shd w:val="clear" w:color="auto" w:fill="auto"/>
            <w:vAlign w:val="center"/>
          </w:tcPr>
          <w:p w14:paraId="68093850">
            <w:pPr>
              <w:pStyle w:val="121"/>
              <w:rPr>
                <w:highlight w:val="none"/>
              </w:rPr>
            </w:pPr>
            <w:r>
              <w:rPr>
                <w:rFonts w:hint="eastAsia"/>
                <w:highlight w:val="none"/>
              </w:rPr>
              <w:t xml:space="preserve">额定起重量Q(kg)：≥3000   </w:t>
            </w:r>
          </w:p>
          <w:p w14:paraId="127F2F05">
            <w:pPr>
              <w:pStyle w:val="121"/>
              <w:rPr>
                <w:highlight w:val="none"/>
              </w:rPr>
            </w:pPr>
            <w:r>
              <w:rPr>
                <w:rFonts w:hint="eastAsia"/>
                <w:highlight w:val="none"/>
              </w:rPr>
              <w:t>自由提升高度 (mm)：170</w:t>
            </w:r>
          </w:p>
          <w:p w14:paraId="0B8003E5">
            <w:pPr>
              <w:pStyle w:val="121"/>
              <w:rPr>
                <w:highlight w:val="none"/>
              </w:rPr>
            </w:pPr>
            <w:r>
              <w:rPr>
                <w:rFonts w:hint="eastAsia"/>
                <w:highlight w:val="none"/>
              </w:rPr>
              <w:t>门架起升最大高度 (mm)：4140</w:t>
            </w:r>
          </w:p>
        </w:tc>
      </w:tr>
    </w:tbl>
    <w:p w14:paraId="01F73F93">
      <w:pPr>
        <w:pStyle w:val="101"/>
        <w:numPr>
          <w:ilvl w:val="1"/>
          <w:numId w:val="0"/>
        </w:numPr>
        <w:rPr>
          <w:highlight w:val="none"/>
        </w:rPr>
      </w:pPr>
      <w:r>
        <w:rPr>
          <w:rFonts w:hint="eastAsia"/>
          <w:highlight w:val="none"/>
        </w:rPr>
        <w:t>八、综合说明</w:t>
      </w:r>
    </w:p>
    <w:p w14:paraId="28D7EFF9">
      <w:pPr>
        <w:ind w:firstLine="480"/>
        <w:rPr>
          <w:highlight w:val="none"/>
        </w:rPr>
      </w:pPr>
      <w:r>
        <w:rPr>
          <w:rFonts w:hint="eastAsia"/>
          <w:highlight w:val="none"/>
        </w:rPr>
        <w:t>8.1概述</w:t>
      </w:r>
    </w:p>
    <w:p w14:paraId="4CC47A38">
      <w:pPr>
        <w:ind w:firstLine="480"/>
        <w:rPr>
          <w:highlight w:val="none"/>
        </w:rPr>
      </w:pPr>
      <w:r>
        <w:rPr>
          <w:rFonts w:hint="eastAsia"/>
          <w:highlight w:val="none"/>
        </w:rPr>
        <w:t>8.1.1中标人所投产品应能够至少达到以上采购清单及技术参数要求，否则将可能导致其投标文件被评标委员会拒绝。</w:t>
      </w:r>
    </w:p>
    <w:p w14:paraId="06F4ECD2">
      <w:pPr>
        <w:ind w:firstLine="480"/>
        <w:rPr>
          <w:highlight w:val="none"/>
        </w:rPr>
      </w:pPr>
      <w:r>
        <w:rPr>
          <w:rFonts w:hint="eastAsia"/>
          <w:highlight w:val="none"/>
        </w:rPr>
        <w:t>8.2交货及安装时间</w:t>
      </w:r>
    </w:p>
    <w:p w14:paraId="01A207BB">
      <w:pPr>
        <w:ind w:firstLine="480"/>
        <w:rPr>
          <w:highlight w:val="none"/>
        </w:rPr>
      </w:pPr>
      <w:r>
        <w:rPr>
          <w:rFonts w:hint="eastAsia"/>
          <w:highlight w:val="none"/>
        </w:rPr>
        <w:t>8.2.1设备预付款到帐之日起</w:t>
      </w:r>
      <w:r>
        <w:rPr>
          <w:highlight w:val="none"/>
        </w:rPr>
        <w:t>120</w:t>
      </w:r>
      <w:r>
        <w:rPr>
          <w:rFonts w:hint="eastAsia"/>
          <w:highlight w:val="none"/>
        </w:rPr>
        <w:t>天内完成所有设备制造，并根据现场进度中标人配合土建单位进行预埋件的埋设的安装。现场具备设备安装条件之日起</w:t>
      </w:r>
      <w:r>
        <w:rPr>
          <w:b/>
          <w:highlight w:val="none"/>
        </w:rPr>
        <w:t>60</w:t>
      </w:r>
      <w:r>
        <w:rPr>
          <w:rFonts w:hint="eastAsia"/>
          <w:b/>
          <w:highlight w:val="none"/>
        </w:rPr>
        <w:t>天全部安装调试完成</w:t>
      </w:r>
      <w:r>
        <w:rPr>
          <w:rFonts w:hint="eastAsia"/>
          <w:highlight w:val="none"/>
        </w:rPr>
        <w:t>，安装调试完成后进入本项目系统的指导试运行。</w:t>
      </w:r>
    </w:p>
    <w:p w14:paraId="527659C6">
      <w:pPr>
        <w:ind w:firstLine="482"/>
        <w:rPr>
          <w:highlight w:val="none"/>
        </w:rPr>
      </w:pPr>
      <w:bookmarkStart w:id="94" w:name="OLE_LINK106"/>
      <w:bookmarkStart w:id="95" w:name="OLE_LINK107"/>
      <w:r>
        <w:rPr>
          <w:rFonts w:hint="eastAsia"/>
          <w:b/>
          <w:bCs/>
          <w:kern w:val="0"/>
          <w:highlight w:val="none"/>
        </w:rPr>
        <w:t>8.2.2</w:t>
      </w:r>
      <w:r>
        <w:rPr>
          <w:b/>
          <w:bCs/>
          <w:kern w:val="0"/>
          <w:highlight w:val="none"/>
        </w:rPr>
        <w:t>调试开始至调试验收合格期间使用的</w:t>
      </w:r>
      <w:r>
        <w:rPr>
          <w:rFonts w:hint="eastAsia"/>
          <w:b/>
          <w:bCs/>
          <w:kern w:val="0"/>
          <w:highlight w:val="none"/>
        </w:rPr>
        <w:t>人工、</w:t>
      </w:r>
      <w:r>
        <w:rPr>
          <w:b/>
          <w:bCs/>
          <w:kern w:val="0"/>
          <w:highlight w:val="none"/>
        </w:rPr>
        <w:t>设备备品备件、易损件、其他消耗品等费用全部由投标方负责</w:t>
      </w:r>
      <w:r>
        <w:rPr>
          <w:rFonts w:ascii="宋体" w:hAnsi="宋体"/>
          <w:highlight w:val="none"/>
        </w:rPr>
        <w:t>。</w:t>
      </w:r>
      <w:r>
        <w:rPr>
          <w:rFonts w:ascii="宋体" w:hAnsi="宋体"/>
          <w:b/>
          <w:highlight w:val="none"/>
        </w:rPr>
        <w:t>调试期间的水费、电费</w:t>
      </w:r>
      <w:r>
        <w:rPr>
          <w:rFonts w:hint="eastAsia" w:ascii="宋体" w:hAnsi="宋体"/>
          <w:b/>
          <w:highlight w:val="none"/>
        </w:rPr>
        <w:t>由招标方负责。</w:t>
      </w:r>
    </w:p>
    <w:bookmarkEnd w:id="94"/>
    <w:bookmarkEnd w:id="95"/>
    <w:p w14:paraId="0A5F3950">
      <w:pPr>
        <w:ind w:firstLine="480"/>
        <w:rPr>
          <w:highlight w:val="none"/>
        </w:rPr>
      </w:pPr>
      <w:r>
        <w:rPr>
          <w:rFonts w:hint="eastAsia"/>
          <w:highlight w:val="none"/>
        </w:rPr>
        <w:t>8.3设备验收</w:t>
      </w:r>
    </w:p>
    <w:p w14:paraId="12C06807">
      <w:pPr>
        <w:ind w:firstLine="480"/>
        <w:rPr>
          <w:highlight w:val="none"/>
        </w:rPr>
      </w:pPr>
      <w:bookmarkStart w:id="96" w:name="OLE_LINK108"/>
      <w:r>
        <w:rPr>
          <w:rFonts w:hint="eastAsia"/>
          <w:highlight w:val="none"/>
        </w:rPr>
        <w:t>8.3.1招标人、监理单位将在交货地点根据货物清单对其进行检查收到的数量、包装情况及运输和装卸中是否引起损坏和丢失，若招标人认为有必要进行抽样检验，将根据技术条件要求进行抽样检验，投标人有权参加检验。作为检验结果，如果数量、质量不满足合同要求以及损坏、丢失，投标人应根据买方的要求免费进行更换，并承担抽样试验费用。</w:t>
      </w:r>
    </w:p>
    <w:p w14:paraId="47866433">
      <w:pPr>
        <w:ind w:firstLine="480"/>
        <w:rPr>
          <w:highlight w:val="none"/>
        </w:rPr>
      </w:pPr>
      <w:r>
        <w:rPr>
          <w:rFonts w:hint="eastAsia"/>
          <w:highlight w:val="none"/>
        </w:rPr>
        <w:t>8.3.2招标人、监理单位根据合同规定的内容和验收标准进行验收并出具的检验证明，该证明作为最终付款所需文件的组成部分。</w:t>
      </w:r>
    </w:p>
    <w:p w14:paraId="75B86DAF">
      <w:pPr>
        <w:ind w:firstLine="480"/>
        <w:rPr>
          <w:highlight w:val="none"/>
        </w:rPr>
      </w:pPr>
      <w:r>
        <w:rPr>
          <w:rFonts w:hint="eastAsia"/>
          <w:highlight w:val="none"/>
        </w:rPr>
        <w:t>8.3.3招标人应于安装调试结束30日内组织设备验收，</w:t>
      </w:r>
      <w:r>
        <w:rPr>
          <w:rFonts w:ascii="宋体" w:hAnsi="宋体"/>
          <w:highlight w:val="none"/>
        </w:rPr>
        <w:t>所有设备性能均须达到</w:t>
      </w:r>
      <w:r>
        <w:rPr>
          <w:rFonts w:hint="eastAsia" w:ascii="宋体" w:hAnsi="宋体"/>
          <w:highlight w:val="none"/>
        </w:rPr>
        <w:t>投标方</w:t>
      </w:r>
      <w:r>
        <w:rPr>
          <w:rFonts w:ascii="宋体" w:hAnsi="宋体"/>
          <w:highlight w:val="none"/>
        </w:rPr>
        <w:t>提供的设计参数、产品规格参数及国家和行业相关规范与标准的要求。</w:t>
      </w:r>
      <w:r>
        <w:rPr>
          <w:rFonts w:hint="eastAsia"/>
          <w:highlight w:val="none"/>
        </w:rPr>
        <w:t>如非因投标方原因，招标人未能在安装调试结束后30日内组织验收，则该30日届满次日视为设备进入试运行期，但不免除投标方保证设备达到技术规格要求的最终责任。最终验收合格应以性能考核通过为准。</w:t>
      </w:r>
    </w:p>
    <w:p w14:paraId="77E9D662">
      <w:pPr>
        <w:ind w:firstLine="480"/>
        <w:rPr>
          <w:highlight w:val="none"/>
        </w:rPr>
      </w:pPr>
      <w:r>
        <w:rPr>
          <w:rFonts w:hint="eastAsia"/>
          <w:highlight w:val="none"/>
        </w:rPr>
        <w:t>8.4指导试运行</w:t>
      </w:r>
    </w:p>
    <w:p w14:paraId="53FF6617">
      <w:pPr>
        <w:ind w:firstLine="480"/>
        <w:rPr>
          <w:highlight w:val="none"/>
        </w:rPr>
      </w:pPr>
      <w:r>
        <w:rPr>
          <w:rFonts w:hint="eastAsia"/>
          <w:highlight w:val="none"/>
        </w:rPr>
        <w:t>8.4.1设备安装调试验收后，由招标人相关人员在投标人技术人员指导下进行试运行，投标人必须保证在试运行期一直有技术人员在现场，投标人自行负责其现场技术人员的一切费用。</w:t>
      </w:r>
      <w:r>
        <w:rPr>
          <w:rFonts w:hint="eastAsia"/>
          <w:b/>
          <w:highlight w:val="none"/>
        </w:rPr>
        <w:t>指导试运行期限6个月。</w:t>
      </w:r>
    </w:p>
    <w:p w14:paraId="7143BD93">
      <w:pPr>
        <w:ind w:firstLine="480"/>
        <w:rPr>
          <w:highlight w:val="none"/>
        </w:rPr>
      </w:pPr>
      <w:r>
        <w:rPr>
          <w:rFonts w:hint="eastAsia"/>
          <w:highlight w:val="none"/>
        </w:rPr>
        <w:t>8.5质保期（缺陷责任期）</w:t>
      </w:r>
    </w:p>
    <w:p w14:paraId="70535BDB">
      <w:pPr>
        <w:pStyle w:val="2"/>
        <w:ind w:firstLine="482"/>
        <w:rPr>
          <w:b/>
          <w:bCs/>
          <w:highlight w:val="none"/>
        </w:rPr>
      </w:pPr>
      <w:r>
        <w:rPr>
          <w:rFonts w:hint="eastAsia"/>
          <w:b/>
          <w:highlight w:val="none"/>
        </w:rPr>
        <w:t>8.5.1本项目质保期为两年（24个月）</w:t>
      </w:r>
      <w:r>
        <w:rPr>
          <w:rFonts w:hint="eastAsia"/>
          <w:highlight w:val="none"/>
        </w:rPr>
        <w:t>，自设备最终验收合格之日起开始计算。投标人负责修复质保期内设备因质量缺陷产生的一切问题。</w:t>
      </w:r>
      <w:bookmarkEnd w:id="96"/>
    </w:p>
    <w:p w14:paraId="052E21AC">
      <w:pPr>
        <w:pStyle w:val="2"/>
        <w:ind w:firstLine="480"/>
        <w:rPr>
          <w:highlight w:val="none"/>
        </w:rPr>
      </w:pPr>
    </w:p>
    <w:p w14:paraId="7C7DE441">
      <w:pPr>
        <w:pStyle w:val="4"/>
        <w:ind w:left="2400"/>
        <w:rPr>
          <w:highlight w:val="none"/>
        </w:rPr>
      </w:pPr>
    </w:p>
    <w:sectPr>
      <w:headerReference r:id="rId5" w:type="default"/>
      <w:footerReference r:id="rId6" w:type="default"/>
      <w:pgSz w:w="11907" w:h="16839"/>
      <w:pgMar w:top="1191" w:right="1134" w:bottom="1191" w:left="1134" w:header="851" w:footer="992" w:gutter="0"/>
      <w:cols w:space="566"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Microsoft JhengHei">
    <w:panose1 w:val="020B0604030504040204"/>
    <w:charset w:val="88"/>
    <w:family w:val="swiss"/>
    <w:pitch w:val="default"/>
    <w:sig w:usb0="000002A7" w:usb1="28CF4400" w:usb2="00000016" w:usb3="00000000" w:csb0="00100009"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ingLiU">
    <w:altName w:val="PMingLiU-ExtB"/>
    <w:panose1 w:val="02010609000101010101"/>
    <w:charset w:val="88"/>
    <w:family w:val="modern"/>
    <w:pitch w:val="default"/>
    <w:sig w:usb0="00000000" w:usb1="00000000" w:usb2="00000010" w:usb3="00000000" w:csb0="00100000" w:csb1="00000000"/>
  </w:font>
  <w:font w:name="Arial Unicode MS">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dobe 宋体 Std L">
    <w:altName w:val="宋体"/>
    <w:panose1 w:val="00000000000000000000"/>
    <w:charset w:val="86"/>
    <w:family w:val="roman"/>
    <w:pitch w:val="default"/>
    <w:sig w:usb0="00000000" w:usb1="00000000" w:usb2="00000016" w:usb3="00000000" w:csb0="00060007" w:csb1="00000000"/>
  </w:font>
  <w:font w:name="Segoe UI">
    <w:panose1 w:val="020B0502040204020203"/>
    <w:charset w:val="00"/>
    <w:family w:val="swiss"/>
    <w:pitch w:val="default"/>
    <w:sig w:usb0="E4002EFF" w:usb1="C000E47F" w:usb2="00000009" w:usb3="00000000" w:csb0="200001F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0FFFB">
    <w:pPr>
      <w:pStyle w:val="2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C82EE1">
                          <w:pPr>
                            <w:pStyle w:val="27"/>
                            <w:ind w:firstLine="360"/>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DC82EE1">
                    <w:pPr>
                      <w:pStyle w:val="27"/>
                      <w:ind w:firstLine="360"/>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F8876">
    <w:pPr>
      <w:pStyle w:val="2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D694E4"/>
    <w:multiLevelType w:val="singleLevel"/>
    <w:tmpl w:val="B1D694E4"/>
    <w:lvl w:ilvl="0" w:tentative="0">
      <w:start w:val="1"/>
      <w:numFmt w:val="decimal"/>
      <w:suff w:val="nothing"/>
      <w:lvlText w:val="%1、"/>
      <w:lvlJc w:val="left"/>
    </w:lvl>
  </w:abstractNum>
  <w:abstractNum w:abstractNumId="1">
    <w:nsid w:val="29567F3E"/>
    <w:multiLevelType w:val="multilevel"/>
    <w:tmpl w:val="29567F3E"/>
    <w:lvl w:ilvl="0" w:tentative="0">
      <w:start w:val="1"/>
      <w:numFmt w:val="chineseCountingThousand"/>
      <w:pStyle w:val="97"/>
      <w:suff w:val="space"/>
      <w:lvlText w:val="第%1章"/>
      <w:lvlJc w:val="left"/>
      <w:pPr>
        <w:ind w:left="4877" w:firstLine="0"/>
      </w:pPr>
      <w:rPr>
        <w:rFonts w:hint="eastAsia"/>
        <w:sz w:val="32"/>
        <w:szCs w:val="32"/>
      </w:rPr>
    </w:lvl>
    <w:lvl w:ilvl="1" w:tentative="0">
      <w:start w:val="1"/>
      <w:numFmt w:val="decimal"/>
      <w:pStyle w:val="101"/>
      <w:isLgl/>
      <w:suff w:val="space"/>
      <w:lvlText w:val="%1.%2"/>
      <w:lvlJc w:val="left"/>
      <w:pPr>
        <w:ind w:left="4877" w:firstLine="0"/>
      </w:pPr>
      <w:rPr>
        <w:rFonts w:hint="eastAsia"/>
        <w:sz w:val="30"/>
        <w:szCs w:val="30"/>
      </w:rPr>
    </w:lvl>
    <w:lvl w:ilvl="2" w:tentative="0">
      <w:start w:val="1"/>
      <w:numFmt w:val="decimal"/>
      <w:pStyle w:val="103"/>
      <w:isLgl/>
      <w:suff w:val="space"/>
      <w:lvlText w:val="%1.%2.%3"/>
      <w:lvlJc w:val="left"/>
      <w:pPr>
        <w:ind w:left="4691" w:firstLine="0"/>
      </w:pPr>
      <w:rPr>
        <w:rFonts w:hint="eastAsia"/>
        <w:lang w:val="en-US"/>
      </w:rPr>
    </w:lvl>
    <w:lvl w:ilvl="3" w:tentative="0">
      <w:start w:val="1"/>
      <w:numFmt w:val="decimal"/>
      <w:lvlRestart w:val="2"/>
      <w:pStyle w:val="95"/>
      <w:isLgl/>
      <w:suff w:val="space"/>
      <w:lvlText w:val="表%1.%2-%4"/>
      <w:lvlJc w:val="center"/>
      <w:pPr>
        <w:ind w:left="4877" w:firstLine="288"/>
      </w:pPr>
    </w:lvl>
    <w:lvl w:ilvl="4" w:tentative="0">
      <w:start w:val="1"/>
      <w:numFmt w:val="decimal"/>
      <w:lvlRestart w:val="2"/>
      <w:pStyle w:val="105"/>
      <w:isLgl/>
      <w:suff w:val="space"/>
      <w:lvlText w:val="图%1.%2-%5"/>
      <w:lvlJc w:val="center"/>
      <w:pPr>
        <w:ind w:left="4130" w:firstLine="28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5" w:tentative="0">
      <w:start w:val="1"/>
      <w:numFmt w:val="decimal"/>
      <w:isLgl/>
      <w:lvlText w:val="%6、"/>
      <w:lvlJc w:val="left"/>
      <w:pPr>
        <w:ind w:left="4877" w:firstLine="0"/>
      </w:pPr>
      <w:rPr>
        <w:rFonts w:hint="eastAsia"/>
      </w:rPr>
    </w:lvl>
    <w:lvl w:ilvl="6" w:tentative="0">
      <w:start w:val="1"/>
      <w:numFmt w:val="decimal"/>
      <w:lvlRestart w:val="0"/>
      <w:lvlText w:val="（%7）"/>
      <w:lvlJc w:val="left"/>
      <w:pPr>
        <w:tabs>
          <w:tab w:val="left" w:pos="4877"/>
        </w:tabs>
        <w:ind w:left="4877" w:firstLine="0"/>
      </w:pPr>
      <w:rPr>
        <w:rFonts w:hint="eastAsia"/>
      </w:rPr>
    </w:lvl>
    <w:lvl w:ilvl="7" w:tentative="0">
      <w:start w:val="1"/>
      <w:numFmt w:val="decimal"/>
      <w:lvlText w:val="%8"/>
      <w:lvlJc w:val="left"/>
      <w:pPr>
        <w:ind w:left="4877" w:firstLine="0"/>
      </w:pPr>
      <w:rPr>
        <w:rFonts w:hint="eastAsia"/>
      </w:rPr>
    </w:lvl>
    <w:lvl w:ilvl="8" w:tentative="0">
      <w:start w:val="1"/>
      <w:numFmt w:val="decimal"/>
      <w:lvlText w:val="%1.%2.%3.%4.%5.%6.%7.%8.%9"/>
      <w:lvlJc w:val="left"/>
      <w:pPr>
        <w:ind w:left="6461" w:hanging="1584"/>
      </w:pPr>
      <w:rPr>
        <w:rFonts w:hint="eastAsia"/>
      </w:rPr>
    </w:lvl>
  </w:abstractNum>
  <w:abstractNum w:abstractNumId="2">
    <w:nsid w:val="40446C16"/>
    <w:multiLevelType w:val="singleLevel"/>
    <w:tmpl w:val="40446C16"/>
    <w:lvl w:ilvl="0" w:tentative="0">
      <w:start w:val="1"/>
      <w:numFmt w:val="decimal"/>
      <w:suff w:val="nothing"/>
      <w:lvlText w:val="%1、"/>
      <w:lvlJc w:val="left"/>
    </w:lvl>
  </w:abstractNum>
  <w:abstractNum w:abstractNumId="3">
    <w:nsid w:val="722F3544"/>
    <w:multiLevelType w:val="multilevel"/>
    <w:tmpl w:val="722F3544"/>
    <w:lvl w:ilvl="0" w:tentative="0">
      <w:start w:val="1"/>
      <w:numFmt w:val="decimal"/>
      <w:pStyle w:val="39"/>
      <w:lvlText w:val="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kYTgzNmY4MDAxZTIzMDJjYjZiYTIzNGExMzM2NWMifQ=="/>
  </w:docVars>
  <w:rsids>
    <w:rsidRoot w:val="00D143E4"/>
    <w:rsid w:val="00003193"/>
    <w:rsid w:val="00011E02"/>
    <w:rsid w:val="00011F32"/>
    <w:rsid w:val="000149D9"/>
    <w:rsid w:val="0002575A"/>
    <w:rsid w:val="00054BA9"/>
    <w:rsid w:val="00075721"/>
    <w:rsid w:val="00087744"/>
    <w:rsid w:val="000921D3"/>
    <w:rsid w:val="000A005E"/>
    <w:rsid w:val="000B2FD5"/>
    <w:rsid w:val="000C20E6"/>
    <w:rsid w:val="000D0AD3"/>
    <w:rsid w:val="000D4418"/>
    <w:rsid w:val="000D7C4B"/>
    <w:rsid w:val="00110AA1"/>
    <w:rsid w:val="00123CB8"/>
    <w:rsid w:val="00127F6D"/>
    <w:rsid w:val="001357C6"/>
    <w:rsid w:val="00146A13"/>
    <w:rsid w:val="00156C50"/>
    <w:rsid w:val="0016335F"/>
    <w:rsid w:val="0017090B"/>
    <w:rsid w:val="00182F36"/>
    <w:rsid w:val="001869B0"/>
    <w:rsid w:val="00194785"/>
    <w:rsid w:val="001B25F6"/>
    <w:rsid w:val="001B2B96"/>
    <w:rsid w:val="001C0247"/>
    <w:rsid w:val="001C465C"/>
    <w:rsid w:val="001C4DE3"/>
    <w:rsid w:val="001C5560"/>
    <w:rsid w:val="001C5D21"/>
    <w:rsid w:val="001D0406"/>
    <w:rsid w:val="001D3A7B"/>
    <w:rsid w:val="001F0915"/>
    <w:rsid w:val="002342A4"/>
    <w:rsid w:val="00234DBC"/>
    <w:rsid w:val="00235749"/>
    <w:rsid w:val="00237F49"/>
    <w:rsid w:val="002439C8"/>
    <w:rsid w:val="00252C5B"/>
    <w:rsid w:val="002538EF"/>
    <w:rsid w:val="00253A0F"/>
    <w:rsid w:val="00254433"/>
    <w:rsid w:val="002563E9"/>
    <w:rsid w:val="00262A80"/>
    <w:rsid w:val="00262ABD"/>
    <w:rsid w:val="00264553"/>
    <w:rsid w:val="002655F1"/>
    <w:rsid w:val="00272D73"/>
    <w:rsid w:val="00273BD3"/>
    <w:rsid w:val="00281F97"/>
    <w:rsid w:val="00291BBE"/>
    <w:rsid w:val="00292E7C"/>
    <w:rsid w:val="002A6887"/>
    <w:rsid w:val="002B27B5"/>
    <w:rsid w:val="002B6F43"/>
    <w:rsid w:val="002C5A1A"/>
    <w:rsid w:val="002E156D"/>
    <w:rsid w:val="002F5666"/>
    <w:rsid w:val="002F5E95"/>
    <w:rsid w:val="002F70A4"/>
    <w:rsid w:val="002F7CD4"/>
    <w:rsid w:val="00317E0B"/>
    <w:rsid w:val="00325B89"/>
    <w:rsid w:val="00326C06"/>
    <w:rsid w:val="0033205F"/>
    <w:rsid w:val="00334166"/>
    <w:rsid w:val="00336354"/>
    <w:rsid w:val="003535C1"/>
    <w:rsid w:val="00360E8A"/>
    <w:rsid w:val="00364711"/>
    <w:rsid w:val="003717CC"/>
    <w:rsid w:val="0037194F"/>
    <w:rsid w:val="003B07DD"/>
    <w:rsid w:val="003B177E"/>
    <w:rsid w:val="003B48B2"/>
    <w:rsid w:val="003B541C"/>
    <w:rsid w:val="003D084A"/>
    <w:rsid w:val="003D3438"/>
    <w:rsid w:val="003D56A0"/>
    <w:rsid w:val="003E22E2"/>
    <w:rsid w:val="003E2FB8"/>
    <w:rsid w:val="003F2520"/>
    <w:rsid w:val="0040000B"/>
    <w:rsid w:val="0040547A"/>
    <w:rsid w:val="004105AF"/>
    <w:rsid w:val="00414BCA"/>
    <w:rsid w:val="00415EC5"/>
    <w:rsid w:val="0042164B"/>
    <w:rsid w:val="00426D73"/>
    <w:rsid w:val="00430AB4"/>
    <w:rsid w:val="0043479B"/>
    <w:rsid w:val="00436C6D"/>
    <w:rsid w:val="004403C9"/>
    <w:rsid w:val="0044325C"/>
    <w:rsid w:val="0045392B"/>
    <w:rsid w:val="00453A72"/>
    <w:rsid w:val="00454488"/>
    <w:rsid w:val="004551D4"/>
    <w:rsid w:val="00464E54"/>
    <w:rsid w:val="004904D3"/>
    <w:rsid w:val="004B6B34"/>
    <w:rsid w:val="004C6399"/>
    <w:rsid w:val="004D2669"/>
    <w:rsid w:val="004E1DCC"/>
    <w:rsid w:val="004E4139"/>
    <w:rsid w:val="004F3A72"/>
    <w:rsid w:val="005027D5"/>
    <w:rsid w:val="00505365"/>
    <w:rsid w:val="00505F1F"/>
    <w:rsid w:val="005068EE"/>
    <w:rsid w:val="005212AC"/>
    <w:rsid w:val="00527684"/>
    <w:rsid w:val="00537ADE"/>
    <w:rsid w:val="00543172"/>
    <w:rsid w:val="00546AD1"/>
    <w:rsid w:val="00547298"/>
    <w:rsid w:val="0055181D"/>
    <w:rsid w:val="005622C8"/>
    <w:rsid w:val="00562B56"/>
    <w:rsid w:val="00563F60"/>
    <w:rsid w:val="00586459"/>
    <w:rsid w:val="00596E61"/>
    <w:rsid w:val="005973C6"/>
    <w:rsid w:val="005B23D5"/>
    <w:rsid w:val="005B4284"/>
    <w:rsid w:val="005C3205"/>
    <w:rsid w:val="005C5885"/>
    <w:rsid w:val="005C6A50"/>
    <w:rsid w:val="005D6A0B"/>
    <w:rsid w:val="005E6CF8"/>
    <w:rsid w:val="005F0057"/>
    <w:rsid w:val="005F5F63"/>
    <w:rsid w:val="00604C60"/>
    <w:rsid w:val="00604D95"/>
    <w:rsid w:val="00612A96"/>
    <w:rsid w:val="00624C46"/>
    <w:rsid w:val="00637C47"/>
    <w:rsid w:val="0064312E"/>
    <w:rsid w:val="0064710B"/>
    <w:rsid w:val="00655ECA"/>
    <w:rsid w:val="00656100"/>
    <w:rsid w:val="00662339"/>
    <w:rsid w:val="00674A17"/>
    <w:rsid w:val="00680865"/>
    <w:rsid w:val="00692A4D"/>
    <w:rsid w:val="00696084"/>
    <w:rsid w:val="00696A4C"/>
    <w:rsid w:val="00696AE1"/>
    <w:rsid w:val="006A4C39"/>
    <w:rsid w:val="006B65F2"/>
    <w:rsid w:val="006C386D"/>
    <w:rsid w:val="006E40CF"/>
    <w:rsid w:val="006F3A10"/>
    <w:rsid w:val="007149AB"/>
    <w:rsid w:val="00726416"/>
    <w:rsid w:val="0073633D"/>
    <w:rsid w:val="00743971"/>
    <w:rsid w:val="00756D4F"/>
    <w:rsid w:val="00764F65"/>
    <w:rsid w:val="00775647"/>
    <w:rsid w:val="00776F52"/>
    <w:rsid w:val="00777D5B"/>
    <w:rsid w:val="00785531"/>
    <w:rsid w:val="007863AF"/>
    <w:rsid w:val="00795168"/>
    <w:rsid w:val="0079753D"/>
    <w:rsid w:val="007A1914"/>
    <w:rsid w:val="007A1F8E"/>
    <w:rsid w:val="007A5A0A"/>
    <w:rsid w:val="007B04B2"/>
    <w:rsid w:val="007B0CEB"/>
    <w:rsid w:val="007B5329"/>
    <w:rsid w:val="007C605B"/>
    <w:rsid w:val="007D7938"/>
    <w:rsid w:val="007E26A4"/>
    <w:rsid w:val="00801ACE"/>
    <w:rsid w:val="00805ADB"/>
    <w:rsid w:val="00806D3A"/>
    <w:rsid w:val="00823BC3"/>
    <w:rsid w:val="00836935"/>
    <w:rsid w:val="0084035B"/>
    <w:rsid w:val="00851957"/>
    <w:rsid w:val="0086205B"/>
    <w:rsid w:val="008626F9"/>
    <w:rsid w:val="00867F3F"/>
    <w:rsid w:val="00871DE6"/>
    <w:rsid w:val="00873094"/>
    <w:rsid w:val="00873FE5"/>
    <w:rsid w:val="00883DF7"/>
    <w:rsid w:val="008857C8"/>
    <w:rsid w:val="008A72BD"/>
    <w:rsid w:val="008B5EEB"/>
    <w:rsid w:val="008B6F5B"/>
    <w:rsid w:val="008B7A76"/>
    <w:rsid w:val="008D2880"/>
    <w:rsid w:val="008D6904"/>
    <w:rsid w:val="008F51F4"/>
    <w:rsid w:val="009053F6"/>
    <w:rsid w:val="009151C9"/>
    <w:rsid w:val="0092643D"/>
    <w:rsid w:val="00942A57"/>
    <w:rsid w:val="0094315B"/>
    <w:rsid w:val="0094771B"/>
    <w:rsid w:val="00950788"/>
    <w:rsid w:val="009553A6"/>
    <w:rsid w:val="00964A4E"/>
    <w:rsid w:val="00965625"/>
    <w:rsid w:val="00972EE6"/>
    <w:rsid w:val="00990F7A"/>
    <w:rsid w:val="00993D29"/>
    <w:rsid w:val="009A55A9"/>
    <w:rsid w:val="009A7F81"/>
    <w:rsid w:val="009B62DC"/>
    <w:rsid w:val="009C0AE9"/>
    <w:rsid w:val="009D0BBE"/>
    <w:rsid w:val="009D1B69"/>
    <w:rsid w:val="009D53AF"/>
    <w:rsid w:val="009E3AD4"/>
    <w:rsid w:val="009F4F4F"/>
    <w:rsid w:val="00A070AA"/>
    <w:rsid w:val="00A10DBE"/>
    <w:rsid w:val="00A308AE"/>
    <w:rsid w:val="00A30A73"/>
    <w:rsid w:val="00A35622"/>
    <w:rsid w:val="00A36E44"/>
    <w:rsid w:val="00A5109C"/>
    <w:rsid w:val="00A53475"/>
    <w:rsid w:val="00A56E5C"/>
    <w:rsid w:val="00A645B0"/>
    <w:rsid w:val="00A75B75"/>
    <w:rsid w:val="00A93681"/>
    <w:rsid w:val="00A97E6C"/>
    <w:rsid w:val="00AA0FC6"/>
    <w:rsid w:val="00AC7B7F"/>
    <w:rsid w:val="00AD0D64"/>
    <w:rsid w:val="00AD37DE"/>
    <w:rsid w:val="00AF0EF3"/>
    <w:rsid w:val="00AF311D"/>
    <w:rsid w:val="00AF78E2"/>
    <w:rsid w:val="00B1021E"/>
    <w:rsid w:val="00B13F08"/>
    <w:rsid w:val="00B17C2C"/>
    <w:rsid w:val="00B22AEA"/>
    <w:rsid w:val="00B333BA"/>
    <w:rsid w:val="00B56B69"/>
    <w:rsid w:val="00B56D65"/>
    <w:rsid w:val="00B57E5D"/>
    <w:rsid w:val="00B57FAF"/>
    <w:rsid w:val="00B613F0"/>
    <w:rsid w:val="00B61E39"/>
    <w:rsid w:val="00B6784B"/>
    <w:rsid w:val="00B75D89"/>
    <w:rsid w:val="00B81BA6"/>
    <w:rsid w:val="00B83F90"/>
    <w:rsid w:val="00B842A4"/>
    <w:rsid w:val="00B85280"/>
    <w:rsid w:val="00BA2B87"/>
    <w:rsid w:val="00BB2E9C"/>
    <w:rsid w:val="00BD1CB6"/>
    <w:rsid w:val="00BD6194"/>
    <w:rsid w:val="00BE1A14"/>
    <w:rsid w:val="00BE43F8"/>
    <w:rsid w:val="00BF09DD"/>
    <w:rsid w:val="00BF6F28"/>
    <w:rsid w:val="00C03630"/>
    <w:rsid w:val="00C10603"/>
    <w:rsid w:val="00C208F3"/>
    <w:rsid w:val="00C33348"/>
    <w:rsid w:val="00C33392"/>
    <w:rsid w:val="00C37719"/>
    <w:rsid w:val="00C46D88"/>
    <w:rsid w:val="00C67EF7"/>
    <w:rsid w:val="00C728E8"/>
    <w:rsid w:val="00C730E6"/>
    <w:rsid w:val="00C768E9"/>
    <w:rsid w:val="00C81934"/>
    <w:rsid w:val="00C8691F"/>
    <w:rsid w:val="00C86AAD"/>
    <w:rsid w:val="00C97F18"/>
    <w:rsid w:val="00CB5D46"/>
    <w:rsid w:val="00CB6C10"/>
    <w:rsid w:val="00CC219D"/>
    <w:rsid w:val="00CD6498"/>
    <w:rsid w:val="00CE0466"/>
    <w:rsid w:val="00CF0465"/>
    <w:rsid w:val="00CF6B3C"/>
    <w:rsid w:val="00D04FEA"/>
    <w:rsid w:val="00D10030"/>
    <w:rsid w:val="00D11883"/>
    <w:rsid w:val="00D143E4"/>
    <w:rsid w:val="00D17D18"/>
    <w:rsid w:val="00D329F9"/>
    <w:rsid w:val="00D330AA"/>
    <w:rsid w:val="00D6783F"/>
    <w:rsid w:val="00D7604D"/>
    <w:rsid w:val="00D81644"/>
    <w:rsid w:val="00D90B77"/>
    <w:rsid w:val="00D9496B"/>
    <w:rsid w:val="00D97804"/>
    <w:rsid w:val="00DF2B9E"/>
    <w:rsid w:val="00DF5170"/>
    <w:rsid w:val="00E15873"/>
    <w:rsid w:val="00E167A5"/>
    <w:rsid w:val="00E177F1"/>
    <w:rsid w:val="00E214A3"/>
    <w:rsid w:val="00E22070"/>
    <w:rsid w:val="00E22AF3"/>
    <w:rsid w:val="00E33528"/>
    <w:rsid w:val="00E40672"/>
    <w:rsid w:val="00E50672"/>
    <w:rsid w:val="00E62203"/>
    <w:rsid w:val="00E74820"/>
    <w:rsid w:val="00E80E34"/>
    <w:rsid w:val="00EB3357"/>
    <w:rsid w:val="00EC2393"/>
    <w:rsid w:val="00EC4BB8"/>
    <w:rsid w:val="00ED1333"/>
    <w:rsid w:val="00ED178C"/>
    <w:rsid w:val="00EE5110"/>
    <w:rsid w:val="00EE7BCB"/>
    <w:rsid w:val="00EF46B6"/>
    <w:rsid w:val="00F05AC2"/>
    <w:rsid w:val="00F05DDD"/>
    <w:rsid w:val="00F13A79"/>
    <w:rsid w:val="00F17EB7"/>
    <w:rsid w:val="00F2007E"/>
    <w:rsid w:val="00F374CD"/>
    <w:rsid w:val="00F506D9"/>
    <w:rsid w:val="00F51FD9"/>
    <w:rsid w:val="00F57714"/>
    <w:rsid w:val="00F62577"/>
    <w:rsid w:val="00F64E57"/>
    <w:rsid w:val="00F70C3A"/>
    <w:rsid w:val="00F80A05"/>
    <w:rsid w:val="00FA29BD"/>
    <w:rsid w:val="00FA4446"/>
    <w:rsid w:val="00FD361E"/>
    <w:rsid w:val="00FE6E6D"/>
    <w:rsid w:val="01822573"/>
    <w:rsid w:val="02624152"/>
    <w:rsid w:val="04C904B8"/>
    <w:rsid w:val="052E10B1"/>
    <w:rsid w:val="0A5C1119"/>
    <w:rsid w:val="0BCE4A63"/>
    <w:rsid w:val="0C4A1EDF"/>
    <w:rsid w:val="0CDE6ACB"/>
    <w:rsid w:val="0DF93BBD"/>
    <w:rsid w:val="0E724BF9"/>
    <w:rsid w:val="0FF56606"/>
    <w:rsid w:val="100967AA"/>
    <w:rsid w:val="114F1D45"/>
    <w:rsid w:val="139D4FEA"/>
    <w:rsid w:val="148B495E"/>
    <w:rsid w:val="15DD324C"/>
    <w:rsid w:val="185D2F9A"/>
    <w:rsid w:val="1E4C39D2"/>
    <w:rsid w:val="20276176"/>
    <w:rsid w:val="232A43C0"/>
    <w:rsid w:val="26DE7C19"/>
    <w:rsid w:val="2AFD6F67"/>
    <w:rsid w:val="2CA35D88"/>
    <w:rsid w:val="2EBC05C2"/>
    <w:rsid w:val="2F040FC7"/>
    <w:rsid w:val="2F2A7C22"/>
    <w:rsid w:val="317F3B29"/>
    <w:rsid w:val="332748C5"/>
    <w:rsid w:val="35466B8A"/>
    <w:rsid w:val="37C4673A"/>
    <w:rsid w:val="37C85C36"/>
    <w:rsid w:val="3A1976E0"/>
    <w:rsid w:val="3B4D1D15"/>
    <w:rsid w:val="3C7A683D"/>
    <w:rsid w:val="3C8A7F52"/>
    <w:rsid w:val="3FF46377"/>
    <w:rsid w:val="405530BA"/>
    <w:rsid w:val="40ED0AAF"/>
    <w:rsid w:val="41C53E47"/>
    <w:rsid w:val="429366CB"/>
    <w:rsid w:val="45E16B54"/>
    <w:rsid w:val="46454957"/>
    <w:rsid w:val="47C37DC3"/>
    <w:rsid w:val="49C96294"/>
    <w:rsid w:val="4C0E0675"/>
    <w:rsid w:val="4DBF1A26"/>
    <w:rsid w:val="4DE962E2"/>
    <w:rsid w:val="508809D7"/>
    <w:rsid w:val="5176064D"/>
    <w:rsid w:val="521A641C"/>
    <w:rsid w:val="548B48AA"/>
    <w:rsid w:val="548E5CAE"/>
    <w:rsid w:val="574834E7"/>
    <w:rsid w:val="597C6A1D"/>
    <w:rsid w:val="5A674620"/>
    <w:rsid w:val="5B61236E"/>
    <w:rsid w:val="5C25160E"/>
    <w:rsid w:val="5F220723"/>
    <w:rsid w:val="60AD7992"/>
    <w:rsid w:val="60E75549"/>
    <w:rsid w:val="62D60F4C"/>
    <w:rsid w:val="68EB2303"/>
    <w:rsid w:val="6DC9627D"/>
    <w:rsid w:val="6E472935"/>
    <w:rsid w:val="70FC7058"/>
    <w:rsid w:val="71327704"/>
    <w:rsid w:val="765B1A3C"/>
    <w:rsid w:val="77283F9B"/>
    <w:rsid w:val="782620D9"/>
    <w:rsid w:val="78397B5B"/>
    <w:rsid w:val="7BFF2E69"/>
    <w:rsid w:val="7DD2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nhideWhenUsed="0" w:uiPriority="0" w:semiHidden="0"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iPriority="99" w:semiHidden="0" w:name="Body Text First Indent"/>
    <w:lsdException w:qFormat="1" w:uiPriority="99" w:name="Body Text First Indent 2"/>
    <w:lsdException w:uiPriority="99" w:name="Note Heading"/>
    <w:lsdException w:qFormat="1" w:uiPriority="99" w:semiHidden="0" w:name="Body Text 2"/>
    <w:lsdException w:uiPriority="99" w:name="Body Text 3"/>
    <w:lsdException w:uiPriority="99"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5">
    <w:name w:val="heading 1"/>
    <w:basedOn w:val="1"/>
    <w:next w:val="1"/>
    <w:link w:val="50"/>
    <w:qFormat/>
    <w:uiPriority w:val="9"/>
    <w:pPr>
      <w:keepNext/>
      <w:keepLines/>
      <w:spacing w:before="340" w:after="330" w:line="578" w:lineRule="auto"/>
      <w:ind w:firstLine="0" w:firstLineChars="0"/>
      <w:outlineLvl w:val="0"/>
    </w:pPr>
    <w:rPr>
      <w:b/>
      <w:bCs/>
      <w:kern w:val="44"/>
      <w:sz w:val="44"/>
      <w:szCs w:val="44"/>
    </w:rPr>
  </w:style>
  <w:style w:type="paragraph" w:styleId="6">
    <w:name w:val="heading 2"/>
    <w:basedOn w:val="1"/>
    <w:next w:val="1"/>
    <w:link w:val="51"/>
    <w:autoRedefine/>
    <w:qFormat/>
    <w:uiPriority w:val="9"/>
    <w:pPr>
      <w:keepNext/>
      <w:keepLines/>
      <w:spacing w:before="260" w:after="260" w:line="416" w:lineRule="auto"/>
      <w:ind w:firstLine="0" w:firstLineChars="0"/>
      <w:outlineLvl w:val="1"/>
    </w:pPr>
    <w:rPr>
      <w:rFonts w:ascii="等线 Light" w:hAnsi="等线 Light" w:eastAsia="等线 Light"/>
      <w:b/>
      <w:bCs/>
      <w:kern w:val="0"/>
      <w:sz w:val="32"/>
      <w:szCs w:val="32"/>
    </w:rPr>
  </w:style>
  <w:style w:type="paragraph" w:styleId="7">
    <w:name w:val="heading 3"/>
    <w:basedOn w:val="1"/>
    <w:next w:val="1"/>
    <w:link w:val="52"/>
    <w:autoRedefine/>
    <w:qFormat/>
    <w:uiPriority w:val="9"/>
    <w:pPr>
      <w:keepNext/>
      <w:keepLines/>
      <w:spacing w:before="260" w:after="260" w:line="416" w:lineRule="auto"/>
      <w:ind w:firstLine="0" w:firstLineChars="0"/>
      <w:outlineLvl w:val="2"/>
    </w:pPr>
    <w:rPr>
      <w:b/>
      <w:bCs/>
      <w:kern w:val="0"/>
      <w:sz w:val="32"/>
      <w:szCs w:val="32"/>
    </w:rPr>
  </w:style>
  <w:style w:type="paragraph" w:styleId="8">
    <w:name w:val="heading 4"/>
    <w:basedOn w:val="1"/>
    <w:next w:val="1"/>
    <w:link w:val="53"/>
    <w:autoRedefine/>
    <w:qFormat/>
    <w:uiPriority w:val="9"/>
    <w:pPr>
      <w:keepNext/>
      <w:keepLines/>
      <w:spacing w:before="280" w:after="290" w:line="376" w:lineRule="auto"/>
      <w:ind w:firstLine="0" w:firstLineChars="0"/>
      <w:outlineLvl w:val="3"/>
    </w:pPr>
    <w:rPr>
      <w:rFonts w:ascii="等线 Light" w:hAnsi="等线 Light" w:eastAsia="等线 Light"/>
      <w:b/>
      <w:bCs/>
      <w:kern w:val="0"/>
      <w:sz w:val="28"/>
      <w:szCs w:val="28"/>
    </w:rPr>
  </w:style>
  <w:style w:type="paragraph" w:styleId="9">
    <w:name w:val="heading 5"/>
    <w:basedOn w:val="1"/>
    <w:next w:val="1"/>
    <w:link w:val="54"/>
    <w:autoRedefine/>
    <w:qFormat/>
    <w:uiPriority w:val="9"/>
    <w:pPr>
      <w:keepNext/>
      <w:keepLines/>
      <w:spacing w:before="280" w:after="290" w:line="376" w:lineRule="auto"/>
      <w:ind w:firstLine="0" w:firstLineChars="0"/>
      <w:outlineLvl w:val="4"/>
    </w:pPr>
    <w:rPr>
      <w:b/>
      <w:bCs/>
      <w:kern w:val="0"/>
      <w:sz w:val="28"/>
      <w:szCs w:val="28"/>
    </w:rPr>
  </w:style>
  <w:style w:type="paragraph" w:styleId="10">
    <w:name w:val="heading 6"/>
    <w:basedOn w:val="1"/>
    <w:next w:val="1"/>
    <w:link w:val="55"/>
    <w:autoRedefine/>
    <w:qFormat/>
    <w:uiPriority w:val="9"/>
    <w:pPr>
      <w:keepNext/>
      <w:keepLines/>
      <w:spacing w:before="240" w:after="64" w:line="320" w:lineRule="auto"/>
      <w:ind w:firstLine="0" w:firstLineChars="0"/>
      <w:outlineLvl w:val="5"/>
    </w:pPr>
    <w:rPr>
      <w:rFonts w:ascii="等线 Light" w:hAnsi="等线 Light" w:eastAsia="等线 Light"/>
      <w:b/>
      <w:bCs/>
      <w:kern w:val="0"/>
      <w:szCs w:val="24"/>
    </w:rPr>
  </w:style>
  <w:style w:type="paragraph" w:styleId="11">
    <w:name w:val="heading 7"/>
    <w:basedOn w:val="1"/>
    <w:next w:val="1"/>
    <w:link w:val="56"/>
    <w:autoRedefine/>
    <w:qFormat/>
    <w:uiPriority w:val="9"/>
    <w:pPr>
      <w:keepNext/>
      <w:keepLines/>
      <w:spacing w:before="240" w:after="64" w:line="320" w:lineRule="auto"/>
      <w:ind w:firstLine="0" w:firstLineChars="0"/>
      <w:outlineLvl w:val="6"/>
    </w:pPr>
    <w:rPr>
      <w:b/>
      <w:bCs/>
      <w:kern w:val="0"/>
      <w:szCs w:val="24"/>
    </w:rPr>
  </w:style>
  <w:style w:type="paragraph" w:styleId="12">
    <w:name w:val="heading 8"/>
    <w:basedOn w:val="1"/>
    <w:next w:val="1"/>
    <w:link w:val="57"/>
    <w:autoRedefine/>
    <w:qFormat/>
    <w:uiPriority w:val="9"/>
    <w:pPr>
      <w:keepNext/>
      <w:keepLines/>
      <w:spacing w:before="240" w:after="64" w:line="320" w:lineRule="auto"/>
      <w:ind w:firstLine="0" w:firstLineChars="0"/>
      <w:outlineLvl w:val="7"/>
    </w:pPr>
    <w:rPr>
      <w:rFonts w:ascii="等线 Light" w:hAnsi="等线 Light" w:eastAsia="等线 Light"/>
      <w:kern w:val="0"/>
      <w:szCs w:val="24"/>
    </w:rPr>
  </w:style>
  <w:style w:type="paragraph" w:styleId="13">
    <w:name w:val="heading 9"/>
    <w:basedOn w:val="1"/>
    <w:next w:val="1"/>
    <w:link w:val="58"/>
    <w:autoRedefine/>
    <w:qFormat/>
    <w:uiPriority w:val="9"/>
    <w:pPr>
      <w:keepNext/>
      <w:keepLines/>
      <w:spacing w:before="240" w:after="64" w:line="320" w:lineRule="auto"/>
      <w:ind w:left="2043" w:hanging="1584" w:firstLineChars="0"/>
      <w:outlineLvl w:val="8"/>
    </w:pPr>
    <w:rPr>
      <w:rFonts w:ascii="等线 Light" w:hAnsi="等线 Light" w:eastAsia="等线 Light"/>
      <w:sz w:val="21"/>
      <w:szCs w:val="21"/>
    </w:r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2"/>
    <w:autoRedefine/>
    <w:unhideWhenUsed/>
    <w:qFormat/>
    <w:uiPriority w:val="99"/>
    <w:pPr>
      <w:spacing w:after="120"/>
    </w:pPr>
    <w:rPr>
      <w:rFonts w:ascii="宋体" w:hAnsi="宋体"/>
      <w:kern w:val="0"/>
      <w:szCs w:val="20"/>
    </w:rPr>
  </w:style>
  <w:style w:type="paragraph" w:styleId="3">
    <w:name w:val="Body Text First Indent"/>
    <w:basedOn w:val="2"/>
    <w:next w:val="4"/>
    <w:link w:val="76"/>
    <w:autoRedefine/>
    <w:unhideWhenUsed/>
    <w:qFormat/>
    <w:uiPriority w:val="99"/>
    <w:pPr>
      <w:ind w:firstLine="420" w:firstLineChars="100"/>
    </w:pPr>
  </w:style>
  <w:style w:type="paragraph" w:styleId="4">
    <w:name w:val="toc 6"/>
    <w:basedOn w:val="1"/>
    <w:next w:val="1"/>
    <w:autoRedefine/>
    <w:unhideWhenUsed/>
    <w:qFormat/>
    <w:uiPriority w:val="39"/>
    <w:pPr>
      <w:spacing w:line="240" w:lineRule="auto"/>
      <w:ind w:left="2100" w:leftChars="1000" w:firstLine="0" w:firstLineChars="0"/>
    </w:pPr>
    <w:rPr>
      <w:rFonts w:ascii="等线" w:hAnsi="等线" w:eastAsia="等线"/>
      <w:sz w:val="21"/>
    </w:rPr>
  </w:style>
  <w:style w:type="paragraph" w:styleId="14">
    <w:name w:val="toc 7"/>
    <w:basedOn w:val="1"/>
    <w:next w:val="1"/>
    <w:autoRedefine/>
    <w:unhideWhenUsed/>
    <w:qFormat/>
    <w:uiPriority w:val="39"/>
    <w:pPr>
      <w:spacing w:line="240" w:lineRule="auto"/>
      <w:ind w:left="2520" w:leftChars="1200" w:firstLine="0" w:firstLineChars="0"/>
    </w:pPr>
    <w:rPr>
      <w:rFonts w:ascii="等线" w:hAnsi="等线" w:eastAsia="等线"/>
      <w:sz w:val="21"/>
    </w:rPr>
  </w:style>
  <w:style w:type="paragraph" w:styleId="15">
    <w:name w:val="Normal Indent"/>
    <w:basedOn w:val="1"/>
    <w:link w:val="59"/>
    <w:autoRedefine/>
    <w:unhideWhenUsed/>
    <w:qFormat/>
    <w:uiPriority w:val="99"/>
    <w:pPr>
      <w:ind w:firstLine="420"/>
    </w:pPr>
  </w:style>
  <w:style w:type="paragraph" w:styleId="16">
    <w:name w:val="caption"/>
    <w:basedOn w:val="1"/>
    <w:next w:val="1"/>
    <w:autoRedefine/>
    <w:qFormat/>
    <w:uiPriority w:val="35"/>
    <w:pPr>
      <w:adjustRightInd w:val="0"/>
      <w:spacing w:before="152" w:after="160" w:line="312" w:lineRule="atLeast"/>
      <w:ind w:firstLine="0" w:firstLineChars="0"/>
      <w:jc w:val="center"/>
      <w:outlineLvl w:val="5"/>
    </w:pPr>
    <w:rPr>
      <w:rFonts w:ascii="Arial" w:hAnsi="Arial" w:eastAsia="黑体"/>
      <w:kern w:val="0"/>
      <w:szCs w:val="20"/>
    </w:rPr>
  </w:style>
  <w:style w:type="paragraph" w:styleId="17">
    <w:name w:val="Document Map"/>
    <w:basedOn w:val="1"/>
    <w:link w:val="60"/>
    <w:autoRedefine/>
    <w:unhideWhenUsed/>
    <w:qFormat/>
    <w:uiPriority w:val="99"/>
    <w:pPr>
      <w:ind w:firstLine="560"/>
    </w:pPr>
    <w:rPr>
      <w:rFonts w:ascii="宋体"/>
      <w:kern w:val="0"/>
      <w:sz w:val="18"/>
      <w:szCs w:val="18"/>
    </w:rPr>
  </w:style>
  <w:style w:type="paragraph" w:styleId="18">
    <w:name w:val="annotation text"/>
    <w:basedOn w:val="1"/>
    <w:link w:val="61"/>
    <w:autoRedefine/>
    <w:unhideWhenUsed/>
    <w:qFormat/>
    <w:uiPriority w:val="99"/>
    <w:pPr>
      <w:jc w:val="left"/>
    </w:pPr>
    <w:rPr>
      <w:kern w:val="0"/>
      <w:sz w:val="28"/>
      <w:szCs w:val="20"/>
    </w:rPr>
  </w:style>
  <w:style w:type="paragraph" w:styleId="19">
    <w:name w:val="Body Text Indent"/>
    <w:basedOn w:val="1"/>
    <w:link w:val="63"/>
    <w:autoRedefine/>
    <w:qFormat/>
    <w:uiPriority w:val="0"/>
    <w:pPr>
      <w:spacing w:line="480" w:lineRule="auto"/>
      <w:ind w:firstLine="560"/>
    </w:pPr>
    <w:rPr>
      <w:kern w:val="0"/>
      <w:sz w:val="28"/>
      <w:szCs w:val="24"/>
    </w:rPr>
  </w:style>
  <w:style w:type="paragraph" w:styleId="20">
    <w:name w:val="Block Text"/>
    <w:basedOn w:val="1"/>
    <w:qFormat/>
    <w:uiPriority w:val="0"/>
    <w:pPr>
      <w:autoSpaceDE w:val="0"/>
      <w:autoSpaceDN w:val="0"/>
      <w:adjustRightInd w:val="0"/>
      <w:spacing w:line="500" w:lineRule="exact"/>
      <w:ind w:left="391" w:right="246"/>
    </w:pPr>
    <w:rPr>
      <w:rFonts w:ascii="仿宋_GB2312" w:eastAsia="仿宋_GB2312"/>
      <w:kern w:val="0"/>
    </w:rPr>
  </w:style>
  <w:style w:type="paragraph" w:styleId="21">
    <w:name w:val="toc 5"/>
    <w:basedOn w:val="1"/>
    <w:next w:val="1"/>
    <w:autoRedefine/>
    <w:unhideWhenUsed/>
    <w:qFormat/>
    <w:uiPriority w:val="39"/>
    <w:pPr>
      <w:spacing w:line="240" w:lineRule="auto"/>
      <w:ind w:left="1680" w:leftChars="800" w:firstLine="0" w:firstLineChars="0"/>
    </w:pPr>
    <w:rPr>
      <w:rFonts w:ascii="等线" w:hAnsi="等线" w:eastAsia="等线"/>
      <w:sz w:val="21"/>
    </w:rPr>
  </w:style>
  <w:style w:type="paragraph" w:styleId="22">
    <w:name w:val="toc 3"/>
    <w:basedOn w:val="1"/>
    <w:next w:val="1"/>
    <w:autoRedefine/>
    <w:unhideWhenUsed/>
    <w:qFormat/>
    <w:uiPriority w:val="39"/>
    <w:pPr>
      <w:ind w:left="840" w:leftChars="400"/>
    </w:pPr>
  </w:style>
  <w:style w:type="paragraph" w:styleId="23">
    <w:name w:val="Plain Text"/>
    <w:basedOn w:val="1"/>
    <w:link w:val="64"/>
    <w:autoRedefine/>
    <w:qFormat/>
    <w:uiPriority w:val="0"/>
    <w:pPr>
      <w:spacing w:line="240" w:lineRule="auto"/>
      <w:ind w:firstLine="0" w:firstLineChars="0"/>
    </w:pPr>
    <w:rPr>
      <w:rFonts w:ascii="宋体" w:hAnsi="Courier New"/>
      <w:kern w:val="0"/>
      <w:sz w:val="20"/>
      <w:szCs w:val="20"/>
    </w:rPr>
  </w:style>
  <w:style w:type="paragraph" w:styleId="24">
    <w:name w:val="toc 8"/>
    <w:basedOn w:val="1"/>
    <w:next w:val="1"/>
    <w:autoRedefine/>
    <w:unhideWhenUsed/>
    <w:qFormat/>
    <w:uiPriority w:val="39"/>
    <w:pPr>
      <w:spacing w:line="240" w:lineRule="auto"/>
      <w:ind w:left="2940" w:leftChars="1400" w:firstLine="0" w:firstLineChars="0"/>
    </w:pPr>
    <w:rPr>
      <w:rFonts w:ascii="等线" w:hAnsi="等线" w:eastAsia="等线"/>
      <w:sz w:val="21"/>
    </w:rPr>
  </w:style>
  <w:style w:type="paragraph" w:styleId="25">
    <w:name w:val="Date"/>
    <w:basedOn w:val="1"/>
    <w:next w:val="1"/>
    <w:link w:val="65"/>
    <w:autoRedefine/>
    <w:unhideWhenUsed/>
    <w:qFormat/>
    <w:uiPriority w:val="0"/>
    <w:pPr>
      <w:ind w:left="100" w:leftChars="2500" w:firstLine="560"/>
    </w:pPr>
    <w:rPr>
      <w:kern w:val="0"/>
      <w:sz w:val="28"/>
      <w:szCs w:val="20"/>
    </w:rPr>
  </w:style>
  <w:style w:type="paragraph" w:styleId="26">
    <w:name w:val="Balloon Text"/>
    <w:basedOn w:val="1"/>
    <w:link w:val="132"/>
    <w:autoRedefine/>
    <w:unhideWhenUsed/>
    <w:qFormat/>
    <w:uiPriority w:val="99"/>
    <w:pPr>
      <w:spacing w:line="240" w:lineRule="auto"/>
    </w:pPr>
    <w:rPr>
      <w:kern w:val="0"/>
      <w:sz w:val="18"/>
      <w:szCs w:val="18"/>
    </w:rPr>
  </w:style>
  <w:style w:type="paragraph" w:styleId="27">
    <w:name w:val="footer"/>
    <w:basedOn w:val="1"/>
    <w:link w:val="133"/>
    <w:autoRedefine/>
    <w:unhideWhenUsed/>
    <w:qFormat/>
    <w:uiPriority w:val="99"/>
    <w:pPr>
      <w:tabs>
        <w:tab w:val="center" w:pos="4153"/>
        <w:tab w:val="right" w:pos="8306"/>
      </w:tabs>
      <w:snapToGrid w:val="0"/>
      <w:spacing w:line="240" w:lineRule="auto"/>
      <w:jc w:val="left"/>
    </w:pPr>
    <w:rPr>
      <w:kern w:val="0"/>
      <w:sz w:val="18"/>
      <w:szCs w:val="18"/>
    </w:rPr>
  </w:style>
  <w:style w:type="paragraph" w:styleId="28">
    <w:name w:val="header"/>
    <w:basedOn w:val="1"/>
    <w:next w:val="20"/>
    <w:link w:val="134"/>
    <w:autoRedefine/>
    <w:unhideWhenUsed/>
    <w:qFormat/>
    <w:uiPriority w:val="99"/>
    <w:pPr>
      <w:pBdr>
        <w:bottom w:val="single" w:color="auto" w:sz="6" w:space="1"/>
      </w:pBdr>
      <w:tabs>
        <w:tab w:val="center" w:pos="4153"/>
        <w:tab w:val="right" w:pos="8306"/>
      </w:tabs>
      <w:snapToGrid w:val="0"/>
      <w:spacing w:line="240" w:lineRule="auto"/>
      <w:jc w:val="center"/>
    </w:pPr>
    <w:rPr>
      <w:kern w:val="0"/>
      <w:sz w:val="18"/>
      <w:szCs w:val="18"/>
    </w:rPr>
  </w:style>
  <w:style w:type="paragraph" w:styleId="29">
    <w:name w:val="toc 1"/>
    <w:basedOn w:val="30"/>
    <w:next w:val="1"/>
    <w:autoRedefine/>
    <w:unhideWhenUsed/>
    <w:qFormat/>
    <w:uiPriority w:val="39"/>
    <w:pPr>
      <w:tabs>
        <w:tab w:val="right" w:leader="dot" w:pos="8297"/>
      </w:tabs>
      <w:ind w:left="0" w:leftChars="0"/>
    </w:pPr>
  </w:style>
  <w:style w:type="paragraph" w:styleId="30">
    <w:name w:val="toc 2"/>
    <w:basedOn w:val="1"/>
    <w:next w:val="1"/>
    <w:autoRedefine/>
    <w:unhideWhenUsed/>
    <w:qFormat/>
    <w:uiPriority w:val="39"/>
    <w:pPr>
      <w:ind w:left="420" w:leftChars="200"/>
    </w:pPr>
  </w:style>
  <w:style w:type="paragraph" w:styleId="31">
    <w:name w:val="toc 4"/>
    <w:basedOn w:val="1"/>
    <w:next w:val="1"/>
    <w:autoRedefine/>
    <w:unhideWhenUsed/>
    <w:qFormat/>
    <w:uiPriority w:val="39"/>
    <w:pPr>
      <w:spacing w:line="240" w:lineRule="auto"/>
      <w:ind w:left="1260" w:leftChars="600" w:firstLine="0" w:firstLineChars="0"/>
    </w:pPr>
    <w:rPr>
      <w:rFonts w:ascii="等线" w:hAnsi="等线" w:eastAsia="等线"/>
      <w:sz w:val="21"/>
    </w:rPr>
  </w:style>
  <w:style w:type="paragraph" w:styleId="32">
    <w:name w:val="footnote text"/>
    <w:basedOn w:val="1"/>
    <w:link w:val="69"/>
    <w:autoRedefine/>
    <w:unhideWhenUsed/>
    <w:qFormat/>
    <w:uiPriority w:val="99"/>
    <w:pPr>
      <w:snapToGrid w:val="0"/>
      <w:ind w:firstLine="560"/>
      <w:jc w:val="left"/>
    </w:pPr>
    <w:rPr>
      <w:rFonts w:ascii="宋体" w:hAnsi="宋体"/>
      <w:kern w:val="0"/>
      <w:sz w:val="18"/>
      <w:szCs w:val="18"/>
    </w:rPr>
  </w:style>
  <w:style w:type="paragraph" w:styleId="33">
    <w:name w:val="Body Text Indent 3"/>
    <w:basedOn w:val="1"/>
    <w:link w:val="70"/>
    <w:autoRedefine/>
    <w:qFormat/>
    <w:uiPriority w:val="0"/>
    <w:pPr>
      <w:spacing w:beforeLines="50"/>
      <w:ind w:firstLine="560"/>
    </w:pPr>
    <w:rPr>
      <w:rFonts w:ascii="宋体"/>
      <w:sz w:val="28"/>
    </w:rPr>
  </w:style>
  <w:style w:type="paragraph" w:styleId="34">
    <w:name w:val="table of figures"/>
    <w:basedOn w:val="1"/>
    <w:next w:val="1"/>
    <w:autoRedefine/>
    <w:qFormat/>
    <w:uiPriority w:val="0"/>
    <w:pPr>
      <w:ind w:left="200" w:leftChars="200" w:hanging="200" w:hangingChars="200"/>
    </w:pPr>
    <w:rPr>
      <w:sz w:val="28"/>
    </w:rPr>
  </w:style>
  <w:style w:type="paragraph" w:styleId="35">
    <w:name w:val="toc 9"/>
    <w:basedOn w:val="1"/>
    <w:next w:val="1"/>
    <w:autoRedefine/>
    <w:unhideWhenUsed/>
    <w:qFormat/>
    <w:uiPriority w:val="39"/>
    <w:pPr>
      <w:spacing w:line="240" w:lineRule="auto"/>
      <w:ind w:left="3360" w:leftChars="1600" w:firstLine="0" w:firstLineChars="0"/>
    </w:pPr>
    <w:rPr>
      <w:rFonts w:ascii="等线" w:hAnsi="等线" w:eastAsia="等线"/>
      <w:sz w:val="21"/>
    </w:rPr>
  </w:style>
  <w:style w:type="paragraph" w:styleId="36">
    <w:name w:val="Body Text 2"/>
    <w:basedOn w:val="1"/>
    <w:link w:val="71"/>
    <w:autoRedefine/>
    <w:unhideWhenUsed/>
    <w:qFormat/>
    <w:uiPriority w:val="99"/>
    <w:pPr>
      <w:spacing w:after="120" w:line="480" w:lineRule="auto"/>
    </w:pPr>
  </w:style>
  <w:style w:type="paragraph" w:styleId="37">
    <w:name w:val="HTML Preformatted"/>
    <w:basedOn w:val="1"/>
    <w:link w:val="72"/>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kern w:val="0"/>
      <w:szCs w:val="24"/>
    </w:rPr>
  </w:style>
  <w:style w:type="paragraph" w:styleId="38">
    <w:name w:val="Normal (Web)"/>
    <w:basedOn w:val="1"/>
    <w:link w:val="73"/>
    <w:autoRedefine/>
    <w:unhideWhenUsed/>
    <w:qFormat/>
    <w:uiPriority w:val="99"/>
    <w:pPr>
      <w:widowControl/>
      <w:spacing w:before="100" w:beforeAutospacing="1" w:after="100" w:afterAutospacing="1" w:line="240" w:lineRule="auto"/>
      <w:ind w:firstLine="0" w:firstLineChars="0"/>
      <w:jc w:val="left"/>
    </w:pPr>
    <w:rPr>
      <w:rFonts w:ascii="宋体" w:hAnsi="宋体"/>
      <w:kern w:val="0"/>
      <w:szCs w:val="24"/>
    </w:rPr>
  </w:style>
  <w:style w:type="paragraph" w:styleId="39">
    <w:name w:val="Title"/>
    <w:basedOn w:val="1"/>
    <w:next w:val="1"/>
    <w:link w:val="74"/>
    <w:autoRedefine/>
    <w:qFormat/>
    <w:uiPriority w:val="0"/>
    <w:pPr>
      <w:numPr>
        <w:ilvl w:val="0"/>
        <w:numId w:val="1"/>
      </w:numPr>
      <w:adjustRightInd w:val="0"/>
      <w:spacing w:line="288" w:lineRule="auto"/>
      <w:ind w:left="0" w:firstLine="0" w:firstLineChars="0"/>
      <w:contextualSpacing/>
      <w:jc w:val="left"/>
      <w:outlineLvl w:val="0"/>
    </w:pPr>
    <w:rPr>
      <w:rFonts w:ascii="等线 Light" w:hAnsi="等线 Light"/>
      <w:b/>
      <w:bCs/>
      <w:sz w:val="28"/>
      <w:szCs w:val="32"/>
    </w:rPr>
  </w:style>
  <w:style w:type="paragraph" w:styleId="40">
    <w:name w:val="annotation subject"/>
    <w:basedOn w:val="18"/>
    <w:next w:val="18"/>
    <w:link w:val="75"/>
    <w:autoRedefine/>
    <w:unhideWhenUsed/>
    <w:qFormat/>
    <w:uiPriority w:val="99"/>
    <w:pPr>
      <w:ind w:firstLine="560"/>
    </w:pPr>
    <w:rPr>
      <w:rFonts w:ascii="宋体" w:hAnsi="宋体"/>
      <w:b/>
      <w:bCs/>
    </w:rPr>
  </w:style>
  <w:style w:type="paragraph" w:styleId="41">
    <w:name w:val="Body Text First Indent 2"/>
    <w:basedOn w:val="19"/>
    <w:link w:val="368"/>
    <w:autoRedefine/>
    <w:semiHidden/>
    <w:unhideWhenUsed/>
    <w:qFormat/>
    <w:uiPriority w:val="99"/>
    <w:pPr>
      <w:spacing w:after="120" w:line="360" w:lineRule="auto"/>
      <w:ind w:left="420" w:leftChars="200" w:firstLine="420"/>
    </w:pPr>
    <w:rPr>
      <w:kern w:val="2"/>
      <w:sz w:val="24"/>
      <w:szCs w:val="22"/>
    </w:rPr>
  </w:style>
  <w:style w:type="table" w:styleId="43">
    <w:name w:val="Table Grid"/>
    <w:basedOn w:val="42"/>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5">
    <w:name w:val="Strong"/>
    <w:autoRedefine/>
    <w:qFormat/>
    <w:uiPriority w:val="0"/>
    <w:rPr>
      <w:rFonts w:cs="Times New Roman"/>
      <w:sz w:val="28"/>
    </w:rPr>
  </w:style>
  <w:style w:type="character" w:styleId="46">
    <w:name w:val="FollowedHyperlink"/>
    <w:autoRedefine/>
    <w:unhideWhenUsed/>
    <w:qFormat/>
    <w:uiPriority w:val="99"/>
    <w:rPr>
      <w:color w:val="800080"/>
      <w:u w:val="single"/>
    </w:rPr>
  </w:style>
  <w:style w:type="character" w:styleId="47">
    <w:name w:val="Hyperlink"/>
    <w:autoRedefine/>
    <w:unhideWhenUsed/>
    <w:qFormat/>
    <w:uiPriority w:val="99"/>
    <w:rPr>
      <w:color w:val="0000FF"/>
      <w:u w:val="single"/>
    </w:rPr>
  </w:style>
  <w:style w:type="character" w:styleId="48">
    <w:name w:val="annotation reference"/>
    <w:autoRedefine/>
    <w:unhideWhenUsed/>
    <w:qFormat/>
    <w:uiPriority w:val="99"/>
    <w:rPr>
      <w:sz w:val="21"/>
      <w:szCs w:val="21"/>
    </w:rPr>
  </w:style>
  <w:style w:type="character" w:styleId="49">
    <w:name w:val="footnote reference"/>
    <w:autoRedefine/>
    <w:unhideWhenUsed/>
    <w:qFormat/>
    <w:uiPriority w:val="99"/>
    <w:rPr>
      <w:vertAlign w:val="superscript"/>
    </w:rPr>
  </w:style>
  <w:style w:type="character" w:customStyle="1" w:styleId="50">
    <w:name w:val="标题 1 Char"/>
    <w:basedOn w:val="44"/>
    <w:link w:val="5"/>
    <w:autoRedefine/>
    <w:qFormat/>
    <w:uiPriority w:val="0"/>
    <w:rPr>
      <w:b/>
      <w:bCs/>
      <w:kern w:val="44"/>
      <w:sz w:val="44"/>
      <w:szCs w:val="44"/>
    </w:rPr>
  </w:style>
  <w:style w:type="character" w:customStyle="1" w:styleId="51">
    <w:name w:val="标题 2 Char"/>
    <w:basedOn w:val="44"/>
    <w:link w:val="6"/>
    <w:autoRedefine/>
    <w:qFormat/>
    <w:uiPriority w:val="9"/>
    <w:rPr>
      <w:rFonts w:ascii="等线 Light" w:hAnsi="等线 Light" w:eastAsia="等线 Light" w:cs="Times New Roman"/>
      <w:b/>
      <w:bCs/>
      <w:sz w:val="32"/>
      <w:szCs w:val="32"/>
    </w:rPr>
  </w:style>
  <w:style w:type="character" w:customStyle="1" w:styleId="52">
    <w:name w:val="标题 3 Char"/>
    <w:basedOn w:val="44"/>
    <w:link w:val="7"/>
    <w:autoRedefine/>
    <w:qFormat/>
    <w:uiPriority w:val="0"/>
    <w:rPr>
      <w:b/>
      <w:bCs/>
      <w:sz w:val="32"/>
      <w:szCs w:val="32"/>
    </w:rPr>
  </w:style>
  <w:style w:type="character" w:customStyle="1" w:styleId="53">
    <w:name w:val="标题 4 Char"/>
    <w:basedOn w:val="44"/>
    <w:link w:val="8"/>
    <w:autoRedefine/>
    <w:qFormat/>
    <w:uiPriority w:val="9"/>
    <w:rPr>
      <w:rFonts w:ascii="等线 Light" w:hAnsi="等线 Light" w:eastAsia="等线 Light"/>
      <w:b/>
      <w:bCs/>
      <w:sz w:val="28"/>
      <w:szCs w:val="28"/>
    </w:rPr>
  </w:style>
  <w:style w:type="character" w:customStyle="1" w:styleId="54">
    <w:name w:val="标题 5 Char"/>
    <w:basedOn w:val="44"/>
    <w:link w:val="9"/>
    <w:autoRedefine/>
    <w:qFormat/>
    <w:uiPriority w:val="9"/>
    <w:rPr>
      <w:b/>
      <w:bCs/>
      <w:sz w:val="28"/>
      <w:szCs w:val="28"/>
    </w:rPr>
  </w:style>
  <w:style w:type="character" w:customStyle="1" w:styleId="55">
    <w:name w:val="标题 6 Char"/>
    <w:basedOn w:val="44"/>
    <w:link w:val="10"/>
    <w:autoRedefine/>
    <w:qFormat/>
    <w:uiPriority w:val="9"/>
    <w:rPr>
      <w:rFonts w:ascii="等线 Light" w:hAnsi="等线 Light" w:eastAsia="等线 Light"/>
      <w:b/>
      <w:bCs/>
      <w:sz w:val="24"/>
      <w:szCs w:val="24"/>
    </w:rPr>
  </w:style>
  <w:style w:type="character" w:customStyle="1" w:styleId="56">
    <w:name w:val="标题 7 Char"/>
    <w:basedOn w:val="44"/>
    <w:link w:val="11"/>
    <w:autoRedefine/>
    <w:qFormat/>
    <w:uiPriority w:val="9"/>
    <w:rPr>
      <w:b/>
      <w:bCs/>
      <w:sz w:val="24"/>
      <w:szCs w:val="24"/>
    </w:rPr>
  </w:style>
  <w:style w:type="character" w:customStyle="1" w:styleId="57">
    <w:name w:val="标题 8 Char"/>
    <w:basedOn w:val="44"/>
    <w:link w:val="12"/>
    <w:autoRedefine/>
    <w:qFormat/>
    <w:uiPriority w:val="9"/>
    <w:rPr>
      <w:rFonts w:ascii="等线 Light" w:hAnsi="等线 Light" w:eastAsia="等线 Light"/>
      <w:sz w:val="24"/>
      <w:szCs w:val="24"/>
    </w:rPr>
  </w:style>
  <w:style w:type="character" w:customStyle="1" w:styleId="58">
    <w:name w:val="标题 9 Char"/>
    <w:basedOn w:val="44"/>
    <w:link w:val="13"/>
    <w:autoRedefine/>
    <w:qFormat/>
    <w:uiPriority w:val="9"/>
    <w:rPr>
      <w:rFonts w:ascii="等线 Light" w:hAnsi="等线 Light" w:eastAsia="等线 Light"/>
      <w:kern w:val="2"/>
      <w:sz w:val="21"/>
      <w:szCs w:val="21"/>
    </w:rPr>
  </w:style>
  <w:style w:type="character" w:customStyle="1" w:styleId="59">
    <w:name w:val="正文缩进 Char"/>
    <w:link w:val="15"/>
    <w:autoRedefine/>
    <w:qFormat/>
    <w:uiPriority w:val="99"/>
    <w:rPr>
      <w:kern w:val="2"/>
      <w:sz w:val="24"/>
      <w:szCs w:val="22"/>
    </w:rPr>
  </w:style>
  <w:style w:type="character" w:customStyle="1" w:styleId="60">
    <w:name w:val="文档结构图 Char"/>
    <w:basedOn w:val="44"/>
    <w:link w:val="17"/>
    <w:autoRedefine/>
    <w:qFormat/>
    <w:uiPriority w:val="99"/>
    <w:rPr>
      <w:rFonts w:ascii="宋体"/>
      <w:sz w:val="18"/>
      <w:szCs w:val="18"/>
    </w:rPr>
  </w:style>
  <w:style w:type="character" w:customStyle="1" w:styleId="61">
    <w:name w:val="批注文字 Char"/>
    <w:basedOn w:val="44"/>
    <w:link w:val="18"/>
    <w:autoRedefine/>
    <w:qFormat/>
    <w:uiPriority w:val="99"/>
    <w:rPr>
      <w:sz w:val="28"/>
    </w:rPr>
  </w:style>
  <w:style w:type="character" w:customStyle="1" w:styleId="62">
    <w:name w:val="正文文本 Char"/>
    <w:basedOn w:val="44"/>
    <w:link w:val="2"/>
    <w:autoRedefine/>
    <w:qFormat/>
    <w:uiPriority w:val="99"/>
    <w:rPr>
      <w:rFonts w:ascii="宋体" w:hAnsi="宋体"/>
      <w:sz w:val="24"/>
    </w:rPr>
  </w:style>
  <w:style w:type="character" w:customStyle="1" w:styleId="63">
    <w:name w:val="正文文本缩进 Char"/>
    <w:basedOn w:val="44"/>
    <w:link w:val="19"/>
    <w:autoRedefine/>
    <w:qFormat/>
    <w:uiPriority w:val="0"/>
    <w:rPr>
      <w:sz w:val="28"/>
      <w:szCs w:val="24"/>
    </w:rPr>
  </w:style>
  <w:style w:type="character" w:customStyle="1" w:styleId="64">
    <w:name w:val="纯文本 Char"/>
    <w:basedOn w:val="44"/>
    <w:link w:val="23"/>
    <w:autoRedefine/>
    <w:qFormat/>
    <w:uiPriority w:val="0"/>
    <w:rPr>
      <w:rFonts w:ascii="宋体" w:hAnsi="Courier New"/>
    </w:rPr>
  </w:style>
  <w:style w:type="character" w:customStyle="1" w:styleId="65">
    <w:name w:val="日期 Char"/>
    <w:basedOn w:val="44"/>
    <w:link w:val="25"/>
    <w:autoRedefine/>
    <w:qFormat/>
    <w:uiPriority w:val="0"/>
    <w:rPr>
      <w:sz w:val="28"/>
    </w:rPr>
  </w:style>
  <w:style w:type="character" w:customStyle="1" w:styleId="66">
    <w:name w:val="批注框文本 Char1"/>
    <w:autoRedefine/>
    <w:qFormat/>
    <w:uiPriority w:val="99"/>
    <w:rPr>
      <w:sz w:val="18"/>
      <w:szCs w:val="18"/>
    </w:rPr>
  </w:style>
  <w:style w:type="character" w:customStyle="1" w:styleId="67">
    <w:name w:val="页脚 Char1"/>
    <w:autoRedefine/>
    <w:qFormat/>
    <w:uiPriority w:val="99"/>
    <w:rPr>
      <w:sz w:val="18"/>
      <w:szCs w:val="18"/>
    </w:rPr>
  </w:style>
  <w:style w:type="character" w:customStyle="1" w:styleId="68">
    <w:name w:val="页眉 Char1"/>
    <w:autoRedefine/>
    <w:qFormat/>
    <w:uiPriority w:val="99"/>
    <w:rPr>
      <w:sz w:val="18"/>
      <w:szCs w:val="18"/>
    </w:rPr>
  </w:style>
  <w:style w:type="character" w:customStyle="1" w:styleId="69">
    <w:name w:val="脚注文本 Char"/>
    <w:basedOn w:val="44"/>
    <w:link w:val="32"/>
    <w:autoRedefine/>
    <w:qFormat/>
    <w:uiPriority w:val="99"/>
    <w:rPr>
      <w:rFonts w:ascii="宋体" w:hAnsi="宋体"/>
      <w:sz w:val="18"/>
      <w:szCs w:val="18"/>
    </w:rPr>
  </w:style>
  <w:style w:type="character" w:customStyle="1" w:styleId="70">
    <w:name w:val="正文文本缩进 3 Char"/>
    <w:basedOn w:val="44"/>
    <w:link w:val="33"/>
    <w:autoRedefine/>
    <w:qFormat/>
    <w:uiPriority w:val="0"/>
    <w:rPr>
      <w:rFonts w:ascii="宋体"/>
      <w:kern w:val="2"/>
      <w:sz w:val="28"/>
      <w:szCs w:val="22"/>
    </w:rPr>
  </w:style>
  <w:style w:type="character" w:customStyle="1" w:styleId="71">
    <w:name w:val="正文文本 2 Char"/>
    <w:basedOn w:val="44"/>
    <w:link w:val="36"/>
    <w:autoRedefine/>
    <w:qFormat/>
    <w:uiPriority w:val="99"/>
    <w:rPr>
      <w:kern w:val="2"/>
      <w:sz w:val="24"/>
      <w:szCs w:val="22"/>
    </w:rPr>
  </w:style>
  <w:style w:type="character" w:customStyle="1" w:styleId="72">
    <w:name w:val="HTML 预设格式 Char"/>
    <w:basedOn w:val="44"/>
    <w:link w:val="37"/>
    <w:autoRedefine/>
    <w:qFormat/>
    <w:uiPriority w:val="0"/>
    <w:rPr>
      <w:rFonts w:ascii="宋体" w:hAnsi="宋体"/>
      <w:sz w:val="24"/>
      <w:szCs w:val="24"/>
    </w:rPr>
  </w:style>
  <w:style w:type="character" w:customStyle="1" w:styleId="73">
    <w:name w:val="普通(网站) Char"/>
    <w:link w:val="38"/>
    <w:autoRedefine/>
    <w:qFormat/>
    <w:uiPriority w:val="99"/>
    <w:rPr>
      <w:rFonts w:ascii="宋体" w:hAnsi="宋体"/>
      <w:sz w:val="24"/>
      <w:szCs w:val="24"/>
    </w:rPr>
  </w:style>
  <w:style w:type="character" w:customStyle="1" w:styleId="74">
    <w:name w:val="标题 Char"/>
    <w:basedOn w:val="44"/>
    <w:link w:val="39"/>
    <w:autoRedefine/>
    <w:qFormat/>
    <w:uiPriority w:val="0"/>
    <w:rPr>
      <w:rFonts w:ascii="等线 Light" w:hAnsi="等线 Light"/>
      <w:b/>
      <w:bCs/>
      <w:kern w:val="2"/>
      <w:sz w:val="28"/>
      <w:szCs w:val="32"/>
    </w:rPr>
  </w:style>
  <w:style w:type="character" w:customStyle="1" w:styleId="75">
    <w:name w:val="批注主题 Char"/>
    <w:basedOn w:val="61"/>
    <w:link w:val="40"/>
    <w:autoRedefine/>
    <w:qFormat/>
    <w:uiPriority w:val="99"/>
    <w:rPr>
      <w:rFonts w:ascii="宋体" w:hAnsi="宋体"/>
      <w:b/>
      <w:bCs/>
      <w:sz w:val="28"/>
    </w:rPr>
  </w:style>
  <w:style w:type="character" w:customStyle="1" w:styleId="76">
    <w:name w:val="正文首行缩进 Char"/>
    <w:basedOn w:val="62"/>
    <w:link w:val="3"/>
    <w:autoRedefine/>
    <w:semiHidden/>
    <w:qFormat/>
    <w:uiPriority w:val="99"/>
    <w:rPr>
      <w:rFonts w:ascii="宋体" w:hAnsi="宋体"/>
      <w:sz w:val="24"/>
    </w:rPr>
  </w:style>
  <w:style w:type="character" w:customStyle="1" w:styleId="77">
    <w:name w:val="标题 1 字符1"/>
    <w:autoRedefine/>
    <w:qFormat/>
    <w:uiPriority w:val="9"/>
    <w:rPr>
      <w:b/>
      <w:bCs/>
      <w:kern w:val="44"/>
      <w:sz w:val="44"/>
      <w:szCs w:val="44"/>
    </w:rPr>
  </w:style>
  <w:style w:type="character" w:customStyle="1" w:styleId="78">
    <w:name w:val="标题 2 字符1"/>
    <w:autoRedefine/>
    <w:semiHidden/>
    <w:qFormat/>
    <w:uiPriority w:val="9"/>
    <w:rPr>
      <w:rFonts w:ascii="等线 Light" w:hAnsi="等线 Light" w:eastAsia="等线 Light" w:cs="Times New Roman"/>
      <w:b/>
      <w:bCs/>
      <w:sz w:val="32"/>
      <w:szCs w:val="32"/>
    </w:rPr>
  </w:style>
  <w:style w:type="character" w:customStyle="1" w:styleId="79">
    <w:name w:val="标题 3 字符1"/>
    <w:autoRedefine/>
    <w:semiHidden/>
    <w:qFormat/>
    <w:uiPriority w:val="9"/>
    <w:rPr>
      <w:rFonts w:ascii="Times New Roman" w:hAnsi="Times New Roman" w:eastAsia="宋体"/>
      <w:b/>
      <w:bCs/>
      <w:sz w:val="32"/>
      <w:szCs w:val="32"/>
    </w:rPr>
  </w:style>
  <w:style w:type="character" w:customStyle="1" w:styleId="80">
    <w:name w:val="标题 4 字符1"/>
    <w:autoRedefine/>
    <w:semiHidden/>
    <w:qFormat/>
    <w:uiPriority w:val="9"/>
    <w:rPr>
      <w:rFonts w:ascii="等线 Light" w:hAnsi="等线 Light" w:eastAsia="等线 Light" w:cs="Times New Roman"/>
      <w:b/>
      <w:bCs/>
      <w:sz w:val="28"/>
      <w:szCs w:val="28"/>
    </w:rPr>
  </w:style>
  <w:style w:type="character" w:customStyle="1" w:styleId="81">
    <w:name w:val="标题 5 字符1"/>
    <w:autoRedefine/>
    <w:semiHidden/>
    <w:qFormat/>
    <w:uiPriority w:val="9"/>
    <w:rPr>
      <w:rFonts w:ascii="Times New Roman" w:hAnsi="Times New Roman" w:eastAsia="宋体"/>
      <w:b/>
      <w:bCs/>
      <w:sz w:val="28"/>
      <w:szCs w:val="28"/>
    </w:rPr>
  </w:style>
  <w:style w:type="character" w:customStyle="1" w:styleId="82">
    <w:name w:val="标题 6 字符1"/>
    <w:autoRedefine/>
    <w:semiHidden/>
    <w:qFormat/>
    <w:uiPriority w:val="9"/>
    <w:rPr>
      <w:rFonts w:ascii="等线 Light" w:hAnsi="等线 Light" w:eastAsia="等线 Light" w:cs="Times New Roman"/>
      <w:b/>
      <w:bCs/>
      <w:sz w:val="24"/>
      <w:szCs w:val="24"/>
    </w:rPr>
  </w:style>
  <w:style w:type="character" w:customStyle="1" w:styleId="83">
    <w:name w:val="标题 7 字符1"/>
    <w:autoRedefine/>
    <w:semiHidden/>
    <w:qFormat/>
    <w:uiPriority w:val="9"/>
    <w:rPr>
      <w:rFonts w:ascii="Times New Roman" w:hAnsi="Times New Roman" w:eastAsia="宋体"/>
      <w:b/>
      <w:bCs/>
      <w:sz w:val="24"/>
      <w:szCs w:val="24"/>
    </w:rPr>
  </w:style>
  <w:style w:type="character" w:customStyle="1" w:styleId="84">
    <w:name w:val="标题 8 字符1"/>
    <w:autoRedefine/>
    <w:semiHidden/>
    <w:qFormat/>
    <w:uiPriority w:val="9"/>
    <w:rPr>
      <w:rFonts w:ascii="等线 Light" w:hAnsi="等线 Light" w:eastAsia="等线 Light" w:cs="Times New Roman"/>
      <w:sz w:val="24"/>
      <w:szCs w:val="24"/>
    </w:rPr>
  </w:style>
  <w:style w:type="character" w:customStyle="1" w:styleId="85">
    <w:name w:val="标题 9 字符1"/>
    <w:autoRedefine/>
    <w:qFormat/>
    <w:uiPriority w:val="9"/>
    <w:rPr>
      <w:rFonts w:ascii="等线 Light" w:hAnsi="等线 Light" w:eastAsia="等线 Light"/>
      <w:kern w:val="2"/>
      <w:sz w:val="21"/>
      <w:szCs w:val="21"/>
    </w:rPr>
  </w:style>
  <w:style w:type="paragraph" w:customStyle="1" w:styleId="86">
    <w:name w:val="1"/>
    <w:basedOn w:val="1"/>
    <w:next w:val="87"/>
    <w:autoRedefine/>
    <w:qFormat/>
    <w:uiPriority w:val="34"/>
    <w:pPr>
      <w:ind w:firstLine="420"/>
    </w:pPr>
    <w:rPr>
      <w:kern w:val="0"/>
      <w:sz w:val="28"/>
      <w:szCs w:val="20"/>
    </w:rPr>
  </w:style>
  <w:style w:type="paragraph" w:styleId="87">
    <w:name w:val="List Paragraph"/>
    <w:basedOn w:val="1"/>
    <w:link w:val="88"/>
    <w:autoRedefine/>
    <w:qFormat/>
    <w:uiPriority w:val="34"/>
    <w:pPr>
      <w:ind w:firstLine="420"/>
    </w:pPr>
  </w:style>
  <w:style w:type="character" w:customStyle="1" w:styleId="88">
    <w:name w:val="列出段落 Char"/>
    <w:link w:val="87"/>
    <w:autoRedefine/>
    <w:qFormat/>
    <w:uiPriority w:val="34"/>
    <w:rPr>
      <w:kern w:val="2"/>
      <w:sz w:val="24"/>
      <w:szCs w:val="22"/>
    </w:rPr>
  </w:style>
  <w:style w:type="character" w:customStyle="1" w:styleId="89">
    <w:name w:val="批注文字 字符1"/>
    <w:autoRedefine/>
    <w:qFormat/>
    <w:uiPriority w:val="99"/>
    <w:rPr>
      <w:rFonts w:ascii="Times New Roman" w:hAnsi="Times New Roman" w:eastAsia="宋体"/>
      <w:sz w:val="28"/>
    </w:rPr>
  </w:style>
  <w:style w:type="character" w:customStyle="1" w:styleId="90">
    <w:name w:val="正文文本 字符2"/>
    <w:autoRedefine/>
    <w:qFormat/>
    <w:uiPriority w:val="99"/>
    <w:rPr>
      <w:rFonts w:ascii="宋体" w:hAnsi="宋体"/>
      <w:sz w:val="24"/>
    </w:rPr>
  </w:style>
  <w:style w:type="character" w:customStyle="1" w:styleId="91">
    <w:name w:val="正文文本首行缩进 字符"/>
    <w:autoRedefine/>
    <w:qFormat/>
    <w:uiPriority w:val="99"/>
    <w:rPr>
      <w:rFonts w:eastAsia="黑体"/>
      <w:sz w:val="21"/>
      <w:szCs w:val="24"/>
    </w:rPr>
  </w:style>
  <w:style w:type="paragraph" w:styleId="92">
    <w:name w:val="Quote"/>
    <w:basedOn w:val="1"/>
    <w:next w:val="1"/>
    <w:link w:val="93"/>
    <w:autoRedefine/>
    <w:qFormat/>
    <w:uiPriority w:val="99"/>
    <w:rPr>
      <w:i/>
      <w:iCs/>
      <w:color w:val="000000"/>
    </w:rPr>
  </w:style>
  <w:style w:type="character" w:customStyle="1" w:styleId="93">
    <w:name w:val="引用 Char"/>
    <w:basedOn w:val="44"/>
    <w:link w:val="92"/>
    <w:autoRedefine/>
    <w:qFormat/>
    <w:uiPriority w:val="99"/>
    <w:rPr>
      <w:i/>
      <w:iCs/>
      <w:color w:val="000000"/>
      <w:kern w:val="2"/>
      <w:sz w:val="24"/>
      <w:szCs w:val="22"/>
    </w:rPr>
  </w:style>
  <w:style w:type="paragraph" w:customStyle="1" w:styleId="94">
    <w:name w:val="_Style 91"/>
    <w:basedOn w:val="5"/>
    <w:next w:val="1"/>
    <w:autoRedefine/>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95">
    <w:name w:val="表-序号"/>
    <w:basedOn w:val="1"/>
    <w:next w:val="1"/>
    <w:link w:val="96"/>
    <w:autoRedefine/>
    <w:qFormat/>
    <w:uiPriority w:val="0"/>
    <w:pPr>
      <w:numPr>
        <w:ilvl w:val="3"/>
        <w:numId w:val="2"/>
      </w:numPr>
      <w:ind w:left="0" w:firstLine="0" w:firstLineChars="0"/>
      <w:jc w:val="center"/>
    </w:pPr>
    <w:rPr>
      <w:b/>
    </w:rPr>
  </w:style>
  <w:style w:type="character" w:customStyle="1" w:styleId="96">
    <w:name w:val="表-序号 字符"/>
    <w:link w:val="95"/>
    <w:autoRedefine/>
    <w:qFormat/>
    <w:uiPriority w:val="0"/>
    <w:rPr>
      <w:b/>
      <w:kern w:val="2"/>
      <w:sz w:val="24"/>
      <w:szCs w:val="22"/>
    </w:rPr>
  </w:style>
  <w:style w:type="paragraph" w:customStyle="1" w:styleId="97">
    <w:name w:val="标题1-序号"/>
    <w:basedOn w:val="5"/>
    <w:next w:val="1"/>
    <w:link w:val="98"/>
    <w:autoRedefine/>
    <w:qFormat/>
    <w:uiPriority w:val="0"/>
    <w:pPr>
      <w:keepNext w:val="0"/>
      <w:numPr>
        <w:ilvl w:val="0"/>
        <w:numId w:val="3"/>
      </w:numPr>
      <w:spacing w:before="0" w:after="0" w:line="360" w:lineRule="auto"/>
      <w:ind w:left="0"/>
      <w:jc w:val="left"/>
    </w:pPr>
    <w:rPr>
      <w:rFonts w:ascii="宋体" w:hAnsi="宋体"/>
      <w:sz w:val="28"/>
    </w:rPr>
  </w:style>
  <w:style w:type="character" w:customStyle="1" w:styleId="98">
    <w:name w:val="标题1-序号 字符"/>
    <w:link w:val="97"/>
    <w:autoRedefine/>
    <w:qFormat/>
    <w:uiPriority w:val="0"/>
    <w:rPr>
      <w:rFonts w:ascii="宋体" w:hAnsi="宋体"/>
      <w:b/>
      <w:bCs/>
      <w:kern w:val="44"/>
      <w:sz w:val="28"/>
      <w:szCs w:val="44"/>
    </w:rPr>
  </w:style>
  <w:style w:type="paragraph" w:customStyle="1" w:styleId="99">
    <w:name w:val="图格式"/>
    <w:basedOn w:val="1"/>
    <w:next w:val="16"/>
    <w:link w:val="100"/>
    <w:autoRedefine/>
    <w:qFormat/>
    <w:uiPriority w:val="0"/>
    <w:pPr>
      <w:ind w:firstLine="0" w:firstLineChars="0"/>
      <w:jc w:val="center"/>
    </w:pPr>
    <w:rPr>
      <w:szCs w:val="21"/>
    </w:rPr>
  </w:style>
  <w:style w:type="character" w:customStyle="1" w:styleId="100">
    <w:name w:val="图格式 字符"/>
    <w:link w:val="99"/>
    <w:autoRedefine/>
    <w:qFormat/>
    <w:uiPriority w:val="0"/>
    <w:rPr>
      <w:kern w:val="2"/>
      <w:sz w:val="24"/>
      <w:szCs w:val="21"/>
      <w:lang w:val="en-US" w:eastAsia="zh-CN"/>
    </w:rPr>
  </w:style>
  <w:style w:type="paragraph" w:customStyle="1" w:styleId="101">
    <w:name w:val="标题2-序号"/>
    <w:basedOn w:val="6"/>
    <w:next w:val="1"/>
    <w:link w:val="102"/>
    <w:autoRedefine/>
    <w:qFormat/>
    <w:uiPriority w:val="0"/>
    <w:pPr>
      <w:keepNext w:val="0"/>
      <w:numPr>
        <w:ilvl w:val="1"/>
        <w:numId w:val="2"/>
      </w:numPr>
      <w:spacing w:before="0" w:after="0" w:line="360" w:lineRule="auto"/>
      <w:ind w:left="0"/>
    </w:pPr>
    <w:rPr>
      <w:rFonts w:ascii="Times New Roman" w:hAnsi="Times New Roman" w:eastAsia="宋体"/>
      <w:sz w:val="24"/>
      <w:szCs w:val="28"/>
    </w:rPr>
  </w:style>
  <w:style w:type="character" w:customStyle="1" w:styleId="102">
    <w:name w:val="标题2-序号 字符"/>
    <w:link w:val="101"/>
    <w:autoRedefine/>
    <w:qFormat/>
    <w:uiPriority w:val="0"/>
    <w:rPr>
      <w:b/>
      <w:bCs/>
      <w:sz w:val="24"/>
      <w:szCs w:val="28"/>
    </w:rPr>
  </w:style>
  <w:style w:type="paragraph" w:customStyle="1" w:styleId="103">
    <w:name w:val="标题3-序号"/>
    <w:basedOn w:val="7"/>
    <w:next w:val="1"/>
    <w:link w:val="104"/>
    <w:autoRedefine/>
    <w:qFormat/>
    <w:uiPriority w:val="0"/>
    <w:pPr>
      <w:numPr>
        <w:ilvl w:val="2"/>
        <w:numId w:val="2"/>
      </w:numPr>
      <w:spacing w:before="0" w:after="0" w:line="360" w:lineRule="auto"/>
      <w:ind w:left="240"/>
      <w:jc w:val="left"/>
    </w:pPr>
    <w:rPr>
      <w:sz w:val="24"/>
    </w:rPr>
  </w:style>
  <w:style w:type="character" w:customStyle="1" w:styleId="104">
    <w:name w:val="标题3-序号 字符"/>
    <w:link w:val="103"/>
    <w:autoRedefine/>
    <w:qFormat/>
    <w:uiPriority w:val="0"/>
    <w:rPr>
      <w:b/>
      <w:bCs/>
      <w:sz w:val="24"/>
      <w:szCs w:val="32"/>
    </w:rPr>
  </w:style>
  <w:style w:type="paragraph" w:customStyle="1" w:styleId="105">
    <w:name w:val="图-序号"/>
    <w:basedOn w:val="1"/>
    <w:next w:val="1"/>
    <w:link w:val="106"/>
    <w:autoRedefine/>
    <w:qFormat/>
    <w:uiPriority w:val="0"/>
    <w:pPr>
      <w:numPr>
        <w:ilvl w:val="4"/>
        <w:numId w:val="2"/>
      </w:numPr>
      <w:ind w:left="0" w:firstLine="0" w:firstLineChars="0"/>
      <w:jc w:val="center"/>
    </w:pPr>
    <w:rPr>
      <w:rFonts w:ascii="宋体" w:hAnsi="宋体"/>
      <w:b/>
      <w:bCs/>
    </w:rPr>
  </w:style>
  <w:style w:type="character" w:customStyle="1" w:styleId="106">
    <w:name w:val="图-序号 字符"/>
    <w:link w:val="105"/>
    <w:autoRedefine/>
    <w:qFormat/>
    <w:uiPriority w:val="0"/>
    <w:rPr>
      <w:rFonts w:ascii="宋体" w:hAnsi="宋体"/>
      <w:b/>
      <w:bCs/>
      <w:kern w:val="2"/>
      <w:sz w:val="24"/>
      <w:szCs w:val="22"/>
    </w:rPr>
  </w:style>
  <w:style w:type="paragraph" w:customStyle="1" w:styleId="107">
    <w:name w:val="标题4-序号"/>
    <w:basedOn w:val="101"/>
    <w:autoRedefine/>
    <w:qFormat/>
    <w:uiPriority w:val="0"/>
    <w:pPr>
      <w:adjustRightInd w:val="0"/>
      <w:snapToGrid w:val="0"/>
      <w:spacing w:before="80"/>
      <w:ind w:left="300" w:leftChars="300"/>
      <w:jc w:val="left"/>
      <w:outlineLvl w:val="3"/>
    </w:pPr>
  </w:style>
  <w:style w:type="paragraph" w:customStyle="1" w:styleId="108">
    <w:name w:val="Table Paragraph"/>
    <w:basedOn w:val="1"/>
    <w:autoRedefine/>
    <w:qFormat/>
    <w:uiPriority w:val="1"/>
    <w:pPr>
      <w:autoSpaceDE w:val="0"/>
      <w:autoSpaceDN w:val="0"/>
      <w:spacing w:line="240" w:lineRule="auto"/>
      <w:ind w:firstLine="0" w:firstLineChars="0"/>
      <w:jc w:val="center"/>
    </w:pPr>
    <w:rPr>
      <w:rFonts w:ascii="宋体" w:hAnsi="宋体" w:cs="宋体"/>
      <w:kern w:val="0"/>
      <w:sz w:val="22"/>
      <w:lang w:eastAsia="en-US"/>
    </w:rPr>
  </w:style>
  <w:style w:type="character" w:customStyle="1" w:styleId="109">
    <w:name w:val="标题 3 字符"/>
    <w:autoRedefine/>
    <w:semiHidden/>
    <w:qFormat/>
    <w:uiPriority w:val="9"/>
    <w:rPr>
      <w:rFonts w:ascii="Times New Roman" w:hAnsi="Times New Roman" w:eastAsia="宋体"/>
      <w:b/>
      <w:bCs/>
      <w:sz w:val="32"/>
      <w:szCs w:val="32"/>
    </w:rPr>
  </w:style>
  <w:style w:type="character" w:customStyle="1" w:styleId="110">
    <w:name w:val="标题 4 字符"/>
    <w:autoRedefine/>
    <w:semiHidden/>
    <w:qFormat/>
    <w:uiPriority w:val="9"/>
    <w:rPr>
      <w:rFonts w:ascii="等线 Light" w:hAnsi="等线 Light" w:eastAsia="等线 Light" w:cs="Times New Roman"/>
      <w:b/>
      <w:bCs/>
      <w:sz w:val="28"/>
      <w:szCs w:val="28"/>
    </w:rPr>
  </w:style>
  <w:style w:type="character" w:customStyle="1" w:styleId="111">
    <w:name w:val="标题 5 字符"/>
    <w:autoRedefine/>
    <w:semiHidden/>
    <w:qFormat/>
    <w:uiPriority w:val="9"/>
    <w:rPr>
      <w:rFonts w:ascii="Times New Roman" w:hAnsi="Times New Roman" w:eastAsia="宋体"/>
      <w:b/>
      <w:bCs/>
      <w:sz w:val="28"/>
      <w:szCs w:val="28"/>
    </w:rPr>
  </w:style>
  <w:style w:type="character" w:customStyle="1" w:styleId="112">
    <w:name w:val="标题 6 字符"/>
    <w:autoRedefine/>
    <w:semiHidden/>
    <w:qFormat/>
    <w:uiPriority w:val="9"/>
    <w:rPr>
      <w:rFonts w:ascii="等线 Light" w:hAnsi="等线 Light" w:eastAsia="等线 Light" w:cs="Times New Roman"/>
      <w:b/>
      <w:bCs/>
      <w:sz w:val="24"/>
      <w:szCs w:val="24"/>
    </w:rPr>
  </w:style>
  <w:style w:type="character" w:customStyle="1" w:styleId="113">
    <w:name w:val="标题 7 字符"/>
    <w:autoRedefine/>
    <w:semiHidden/>
    <w:qFormat/>
    <w:uiPriority w:val="9"/>
    <w:rPr>
      <w:rFonts w:ascii="Times New Roman" w:hAnsi="Times New Roman" w:eastAsia="宋体"/>
      <w:b/>
      <w:bCs/>
      <w:sz w:val="24"/>
      <w:szCs w:val="24"/>
    </w:rPr>
  </w:style>
  <w:style w:type="character" w:customStyle="1" w:styleId="114">
    <w:name w:val="标题 8 字符"/>
    <w:autoRedefine/>
    <w:semiHidden/>
    <w:qFormat/>
    <w:uiPriority w:val="9"/>
    <w:rPr>
      <w:rFonts w:ascii="等线 Light" w:hAnsi="等线 Light" w:eastAsia="等线 Light" w:cs="Times New Roman"/>
      <w:sz w:val="24"/>
      <w:szCs w:val="24"/>
    </w:rPr>
  </w:style>
  <w:style w:type="paragraph" w:customStyle="1" w:styleId="115">
    <w:name w:val="_Style 226"/>
    <w:basedOn w:val="1"/>
    <w:next w:val="87"/>
    <w:link w:val="116"/>
    <w:autoRedefine/>
    <w:qFormat/>
    <w:uiPriority w:val="34"/>
    <w:pPr>
      <w:ind w:firstLine="420"/>
    </w:pPr>
    <w:rPr>
      <w:kern w:val="0"/>
      <w:sz w:val="28"/>
      <w:szCs w:val="20"/>
    </w:rPr>
  </w:style>
  <w:style w:type="character" w:customStyle="1" w:styleId="116">
    <w:name w:val="列表段落 字符"/>
    <w:link w:val="115"/>
    <w:autoRedefine/>
    <w:qFormat/>
    <w:uiPriority w:val="34"/>
    <w:rPr>
      <w:sz w:val="28"/>
    </w:rPr>
  </w:style>
  <w:style w:type="character" w:customStyle="1" w:styleId="117">
    <w:name w:val="文档结构图 字符1"/>
    <w:autoRedefine/>
    <w:qFormat/>
    <w:uiPriority w:val="99"/>
    <w:rPr>
      <w:rFonts w:ascii="宋体"/>
      <w:sz w:val="18"/>
      <w:szCs w:val="18"/>
    </w:rPr>
  </w:style>
  <w:style w:type="character" w:customStyle="1" w:styleId="118">
    <w:name w:val="批注文字 字符"/>
    <w:autoRedefine/>
    <w:semiHidden/>
    <w:qFormat/>
    <w:uiPriority w:val="99"/>
    <w:rPr>
      <w:rFonts w:ascii="Times New Roman" w:hAnsi="Times New Roman" w:eastAsia="宋体"/>
      <w:sz w:val="28"/>
    </w:rPr>
  </w:style>
  <w:style w:type="character" w:customStyle="1" w:styleId="119">
    <w:name w:val="正文文本 字符1"/>
    <w:autoRedefine/>
    <w:qFormat/>
    <w:uiPriority w:val="99"/>
    <w:rPr>
      <w:rFonts w:ascii="宋体" w:hAnsi="宋体"/>
      <w:sz w:val="24"/>
    </w:rPr>
  </w:style>
  <w:style w:type="character" w:customStyle="1" w:styleId="120">
    <w:name w:val="脚注文本 字符1"/>
    <w:autoRedefine/>
    <w:qFormat/>
    <w:uiPriority w:val="99"/>
    <w:rPr>
      <w:rFonts w:ascii="宋体" w:hAnsi="宋体"/>
      <w:sz w:val="18"/>
      <w:szCs w:val="18"/>
    </w:rPr>
  </w:style>
  <w:style w:type="paragraph" w:customStyle="1" w:styleId="121">
    <w:name w:val="表内字体格式"/>
    <w:basedOn w:val="122"/>
    <w:link w:val="123"/>
    <w:autoRedefine/>
    <w:qFormat/>
    <w:uiPriority w:val="0"/>
    <w:rPr>
      <w:szCs w:val="21"/>
    </w:rPr>
  </w:style>
  <w:style w:type="paragraph" w:customStyle="1" w:styleId="122">
    <w:name w:val="表中字体格式"/>
    <w:basedOn w:val="99"/>
    <w:link w:val="145"/>
    <w:autoRedefine/>
    <w:qFormat/>
    <w:uiPriority w:val="0"/>
    <w:pPr>
      <w:spacing w:line="240" w:lineRule="auto"/>
    </w:pPr>
    <w:rPr>
      <w:kern w:val="0"/>
      <w:sz w:val="21"/>
      <w:szCs w:val="20"/>
    </w:rPr>
  </w:style>
  <w:style w:type="character" w:customStyle="1" w:styleId="123">
    <w:name w:val="表内字体格式 字符"/>
    <w:link w:val="121"/>
    <w:autoRedefine/>
    <w:qFormat/>
    <w:uiPriority w:val="0"/>
    <w:rPr>
      <w:kern w:val="2"/>
      <w:sz w:val="21"/>
      <w:szCs w:val="21"/>
    </w:rPr>
  </w:style>
  <w:style w:type="character" w:customStyle="1" w:styleId="124">
    <w:name w:val="列出段落 Char1"/>
    <w:autoRedefine/>
    <w:qFormat/>
    <w:uiPriority w:val="1"/>
    <w:rPr>
      <w:rFonts w:ascii="Times New Roman" w:hAnsi="Times New Roman" w:eastAsia="宋体"/>
      <w:sz w:val="28"/>
    </w:rPr>
  </w:style>
  <w:style w:type="paragraph" w:customStyle="1" w:styleId="125">
    <w:name w:val="_Style 14"/>
    <w:basedOn w:val="1"/>
    <w:next w:val="87"/>
    <w:autoRedefine/>
    <w:qFormat/>
    <w:uiPriority w:val="34"/>
    <w:pPr>
      <w:ind w:firstLine="420"/>
    </w:pPr>
    <w:rPr>
      <w:rFonts w:ascii="等线" w:hAnsi="等线" w:eastAsia="等线"/>
      <w:sz w:val="21"/>
      <w:lang w:val="zh-CN"/>
    </w:rPr>
  </w:style>
  <w:style w:type="paragraph" w:customStyle="1" w:styleId="126">
    <w:name w:val="标题 11"/>
    <w:basedOn w:val="1"/>
    <w:qFormat/>
    <w:uiPriority w:val="1"/>
    <w:pPr>
      <w:spacing w:line="240" w:lineRule="auto"/>
      <w:ind w:firstLine="0" w:firstLineChars="0"/>
      <w:jc w:val="left"/>
      <w:outlineLvl w:val="1"/>
    </w:pPr>
    <w:rPr>
      <w:rFonts w:ascii="Microsoft JhengHei" w:hAnsi="Microsoft JhengHei" w:eastAsia="Microsoft JhengHei"/>
      <w:b/>
      <w:bCs/>
      <w:kern w:val="0"/>
      <w:sz w:val="28"/>
      <w:szCs w:val="28"/>
      <w:lang w:eastAsia="en-US"/>
    </w:rPr>
  </w:style>
  <w:style w:type="character" w:customStyle="1" w:styleId="127">
    <w:name w:val="正文首行缩进 Char2"/>
    <w:autoRedefine/>
    <w:qFormat/>
    <w:uiPriority w:val="99"/>
    <w:rPr>
      <w:rFonts w:eastAsia="黑体"/>
      <w:sz w:val="21"/>
      <w:szCs w:val="24"/>
    </w:rPr>
  </w:style>
  <w:style w:type="character" w:customStyle="1" w:styleId="128">
    <w:name w:val="标题 1 Char1"/>
    <w:autoRedefine/>
    <w:qFormat/>
    <w:uiPriority w:val="9"/>
    <w:rPr>
      <w:b/>
      <w:bCs/>
      <w:kern w:val="44"/>
      <w:sz w:val="44"/>
      <w:szCs w:val="44"/>
    </w:rPr>
  </w:style>
  <w:style w:type="character" w:customStyle="1" w:styleId="129">
    <w:name w:val="标题 2 Char1"/>
    <w:autoRedefine/>
    <w:semiHidden/>
    <w:qFormat/>
    <w:uiPriority w:val="9"/>
    <w:rPr>
      <w:rFonts w:ascii="等线 Light" w:hAnsi="等线 Light" w:eastAsia="等线 Light" w:cs="Times New Roman"/>
      <w:b/>
      <w:bCs/>
      <w:sz w:val="32"/>
      <w:szCs w:val="32"/>
    </w:rPr>
  </w:style>
  <w:style w:type="character" w:customStyle="1" w:styleId="130">
    <w:name w:val="标题 3 Char1"/>
    <w:autoRedefine/>
    <w:semiHidden/>
    <w:qFormat/>
    <w:uiPriority w:val="9"/>
    <w:rPr>
      <w:rFonts w:ascii="Times New Roman" w:hAnsi="Times New Roman" w:eastAsia="宋体"/>
      <w:b/>
      <w:bCs/>
      <w:sz w:val="32"/>
      <w:szCs w:val="32"/>
    </w:rPr>
  </w:style>
  <w:style w:type="character" w:customStyle="1" w:styleId="131">
    <w:name w:val="批注文字 Char1"/>
    <w:autoRedefine/>
    <w:qFormat/>
    <w:uiPriority w:val="99"/>
    <w:rPr>
      <w:rFonts w:ascii="Times New Roman" w:hAnsi="Times New Roman" w:eastAsia="宋体"/>
      <w:sz w:val="28"/>
    </w:rPr>
  </w:style>
  <w:style w:type="character" w:customStyle="1" w:styleId="132">
    <w:name w:val="批注框文本 Char"/>
    <w:basedOn w:val="44"/>
    <w:link w:val="26"/>
    <w:autoRedefine/>
    <w:qFormat/>
    <w:uiPriority w:val="99"/>
    <w:rPr>
      <w:kern w:val="2"/>
      <w:sz w:val="18"/>
      <w:szCs w:val="18"/>
    </w:rPr>
  </w:style>
  <w:style w:type="character" w:customStyle="1" w:styleId="133">
    <w:name w:val="页脚 Char"/>
    <w:basedOn w:val="44"/>
    <w:link w:val="27"/>
    <w:autoRedefine/>
    <w:qFormat/>
    <w:uiPriority w:val="99"/>
    <w:rPr>
      <w:kern w:val="2"/>
      <w:sz w:val="18"/>
      <w:szCs w:val="18"/>
    </w:rPr>
  </w:style>
  <w:style w:type="character" w:customStyle="1" w:styleId="134">
    <w:name w:val="页眉 Char"/>
    <w:basedOn w:val="44"/>
    <w:link w:val="28"/>
    <w:autoRedefine/>
    <w:qFormat/>
    <w:uiPriority w:val="99"/>
    <w:rPr>
      <w:kern w:val="2"/>
      <w:sz w:val="18"/>
      <w:szCs w:val="18"/>
    </w:rPr>
  </w:style>
  <w:style w:type="character" w:customStyle="1" w:styleId="135">
    <w:name w:val="标题 2 字符"/>
    <w:autoRedefine/>
    <w:semiHidden/>
    <w:qFormat/>
    <w:uiPriority w:val="9"/>
    <w:rPr>
      <w:rFonts w:ascii="等线 Light" w:hAnsi="等线 Light" w:eastAsia="等线 Light" w:cs="Times New Roman"/>
      <w:b/>
      <w:bCs/>
      <w:sz w:val="32"/>
      <w:szCs w:val="32"/>
    </w:rPr>
  </w:style>
  <w:style w:type="character" w:customStyle="1" w:styleId="136">
    <w:name w:val="font01"/>
    <w:autoRedefine/>
    <w:qFormat/>
    <w:uiPriority w:val="0"/>
    <w:rPr>
      <w:rFonts w:hint="eastAsia" w:ascii="宋体" w:hAnsi="宋体" w:eastAsia="宋体"/>
      <w:color w:val="000000"/>
      <w:sz w:val="24"/>
      <w:szCs w:val="24"/>
      <w:u w:val="none"/>
    </w:rPr>
  </w:style>
  <w:style w:type="character" w:customStyle="1" w:styleId="137">
    <w:name w:val="cucd-TB Char"/>
    <w:link w:val="138"/>
    <w:qFormat/>
    <w:uiPriority w:val="0"/>
    <w:rPr>
      <w:kern w:val="2"/>
      <w:sz w:val="21"/>
      <w:szCs w:val="24"/>
      <w:lang w:val="en-US" w:eastAsia="zh-CN" w:bidi="ar-SA"/>
    </w:rPr>
  </w:style>
  <w:style w:type="paragraph" w:customStyle="1" w:styleId="138">
    <w:name w:val="cucd-TB"/>
    <w:link w:val="137"/>
    <w:autoRedefine/>
    <w:qFormat/>
    <w:uiPriority w:val="0"/>
    <w:pPr>
      <w:spacing w:line="360" w:lineRule="auto"/>
      <w:jc w:val="center"/>
    </w:pPr>
    <w:rPr>
      <w:rFonts w:ascii="Times New Roman" w:hAnsi="Times New Roman" w:eastAsia="宋体" w:cs="Times New Roman"/>
      <w:kern w:val="2"/>
      <w:sz w:val="21"/>
      <w:szCs w:val="24"/>
      <w:lang w:val="en-US" w:eastAsia="zh-CN" w:bidi="ar-SA"/>
    </w:rPr>
  </w:style>
  <w:style w:type="character" w:customStyle="1" w:styleId="139">
    <w:name w:val="正 文 Char Char"/>
    <w:link w:val="140"/>
    <w:autoRedefine/>
    <w:qFormat/>
    <w:locked/>
    <w:uiPriority w:val="0"/>
    <w:rPr>
      <w:bCs/>
      <w:sz w:val="24"/>
      <w:szCs w:val="32"/>
      <w:lang w:val="en-GB" w:eastAsia="zh-CN" w:bidi="ar-SA"/>
    </w:rPr>
  </w:style>
  <w:style w:type="paragraph" w:customStyle="1" w:styleId="140">
    <w:name w:val="正 文"/>
    <w:link w:val="139"/>
    <w:autoRedefine/>
    <w:qFormat/>
    <w:uiPriority w:val="0"/>
    <w:pPr>
      <w:tabs>
        <w:tab w:val="left" w:pos="900"/>
      </w:tabs>
      <w:spacing w:line="360" w:lineRule="auto"/>
      <w:ind w:left="900" w:hanging="720"/>
    </w:pPr>
    <w:rPr>
      <w:rFonts w:ascii="Times New Roman" w:hAnsi="Times New Roman" w:eastAsia="宋体" w:cs="Times New Roman"/>
      <w:bCs/>
      <w:sz w:val="24"/>
      <w:szCs w:val="32"/>
      <w:lang w:val="en-GB" w:eastAsia="zh-CN" w:bidi="ar-SA"/>
    </w:rPr>
  </w:style>
  <w:style w:type="character" w:customStyle="1" w:styleId="141">
    <w:name w:val="缩进正文 Char Char"/>
    <w:autoRedefine/>
    <w:qFormat/>
    <w:uiPriority w:val="0"/>
    <w:rPr>
      <w:rFonts w:ascii="宋体" w:hAnsi="宋体" w:eastAsia="宋体"/>
      <w:kern w:val="2"/>
      <w:sz w:val="24"/>
      <w:szCs w:val="28"/>
      <w:lang w:val="en-US" w:eastAsia="zh-CN" w:bidi="ar-SA"/>
    </w:rPr>
  </w:style>
  <w:style w:type="character" w:customStyle="1" w:styleId="142">
    <w:name w:val="标题 9 字符"/>
    <w:autoRedefine/>
    <w:qFormat/>
    <w:uiPriority w:val="9"/>
    <w:rPr>
      <w:rFonts w:ascii="等线 Light" w:hAnsi="等线 Light" w:eastAsia="等线 Light"/>
      <w:kern w:val="2"/>
      <w:sz w:val="21"/>
      <w:szCs w:val="21"/>
    </w:rPr>
  </w:style>
  <w:style w:type="character" w:customStyle="1" w:styleId="143">
    <w:name w:val="font31"/>
    <w:autoRedefine/>
    <w:qFormat/>
    <w:uiPriority w:val="0"/>
    <w:rPr>
      <w:rFonts w:hint="default" w:ascii="Times New Roman" w:hAnsi="Times New Roman" w:cs="Times New Roman"/>
      <w:color w:val="000000"/>
      <w:sz w:val="24"/>
      <w:szCs w:val="24"/>
      <w:u w:val="none"/>
    </w:rPr>
  </w:style>
  <w:style w:type="character" w:customStyle="1" w:styleId="144">
    <w:name w:val="正文文本 2 字符"/>
    <w:autoRedefine/>
    <w:semiHidden/>
    <w:qFormat/>
    <w:uiPriority w:val="99"/>
    <w:rPr>
      <w:rFonts w:ascii="Times New Roman" w:hAnsi="Times New Roman" w:eastAsia="宋体"/>
      <w:kern w:val="2"/>
      <w:sz w:val="24"/>
      <w:szCs w:val="22"/>
    </w:rPr>
  </w:style>
  <w:style w:type="character" w:customStyle="1" w:styleId="145">
    <w:name w:val="表中字体格式 字符"/>
    <w:link w:val="122"/>
    <w:autoRedefine/>
    <w:qFormat/>
    <w:uiPriority w:val="0"/>
    <w:rPr>
      <w:sz w:val="21"/>
    </w:rPr>
  </w:style>
  <w:style w:type="paragraph" w:customStyle="1" w:styleId="146">
    <w:name w:val="表"/>
    <w:basedOn w:val="1"/>
    <w:autoRedefine/>
    <w:qFormat/>
    <w:uiPriority w:val="0"/>
    <w:pPr>
      <w:ind w:firstLine="0" w:firstLineChars="0"/>
      <w:jc w:val="center"/>
    </w:pPr>
  </w:style>
  <w:style w:type="character" w:customStyle="1" w:styleId="147">
    <w:name w:val="列出段落 Char2"/>
    <w:autoRedefine/>
    <w:qFormat/>
    <w:uiPriority w:val="34"/>
    <w:rPr>
      <w:rFonts w:ascii="Times New Roman" w:hAnsi="Times New Roman" w:eastAsia="宋体"/>
      <w:sz w:val="28"/>
    </w:rPr>
  </w:style>
  <w:style w:type="character" w:customStyle="1" w:styleId="148">
    <w:name w:val="批注主题 字符1"/>
    <w:autoRedefine/>
    <w:qFormat/>
    <w:uiPriority w:val="99"/>
    <w:rPr>
      <w:rFonts w:ascii="宋体" w:hAnsi="宋体"/>
      <w:b/>
      <w:bCs/>
      <w:sz w:val="28"/>
    </w:rPr>
  </w:style>
  <w:style w:type="character" w:customStyle="1" w:styleId="149">
    <w:name w:val="级4 Char"/>
    <w:link w:val="150"/>
    <w:autoRedefine/>
    <w:qFormat/>
    <w:uiPriority w:val="0"/>
    <w:rPr>
      <w:b/>
    </w:rPr>
  </w:style>
  <w:style w:type="paragraph" w:customStyle="1" w:styleId="150">
    <w:name w:val="级4"/>
    <w:basedOn w:val="151"/>
    <w:link w:val="149"/>
    <w:autoRedefine/>
    <w:qFormat/>
    <w:uiPriority w:val="0"/>
    <w:pPr>
      <w:adjustRightInd/>
      <w:ind w:firstLine="150" w:firstLineChars="150"/>
      <w:jc w:val="both"/>
      <w:outlineLvl w:val="3"/>
    </w:pPr>
    <w:rPr>
      <w:rFonts w:ascii="Times New Roman" w:hAnsi="Times New Roman"/>
      <w:b/>
      <w:sz w:val="20"/>
    </w:rPr>
  </w:style>
  <w:style w:type="paragraph" w:customStyle="1" w:styleId="151">
    <w:name w:val="正文 无缩进"/>
    <w:basedOn w:val="1"/>
    <w:link w:val="152"/>
    <w:autoRedefine/>
    <w:qFormat/>
    <w:uiPriority w:val="0"/>
    <w:pPr>
      <w:adjustRightInd w:val="0"/>
      <w:snapToGrid w:val="0"/>
      <w:ind w:firstLine="0" w:firstLineChars="0"/>
      <w:jc w:val="left"/>
    </w:pPr>
    <w:rPr>
      <w:rFonts w:ascii="宋体" w:hAnsi="宋体"/>
      <w:kern w:val="0"/>
      <w:szCs w:val="20"/>
    </w:rPr>
  </w:style>
  <w:style w:type="character" w:customStyle="1" w:styleId="152">
    <w:name w:val="正文 无缩进 Char"/>
    <w:link w:val="151"/>
    <w:autoRedefine/>
    <w:qFormat/>
    <w:uiPriority w:val="0"/>
    <w:rPr>
      <w:rFonts w:ascii="宋体" w:hAnsi="宋体"/>
      <w:sz w:val="24"/>
    </w:rPr>
  </w:style>
  <w:style w:type="character" w:customStyle="1" w:styleId="153">
    <w:name w:val="日期 字符1"/>
    <w:autoRedefine/>
    <w:qFormat/>
    <w:uiPriority w:val="0"/>
    <w:rPr>
      <w:sz w:val="28"/>
    </w:rPr>
  </w:style>
  <w:style w:type="character" w:customStyle="1" w:styleId="154">
    <w:name w:val="标题 1 字符"/>
    <w:autoRedefine/>
    <w:qFormat/>
    <w:uiPriority w:val="9"/>
    <w:rPr>
      <w:b/>
      <w:bCs/>
      <w:kern w:val="44"/>
      <w:sz w:val="44"/>
      <w:szCs w:val="44"/>
    </w:rPr>
  </w:style>
  <w:style w:type="character" w:customStyle="1" w:styleId="155">
    <w:name w:val="正文文本缩进 字符1"/>
    <w:autoRedefine/>
    <w:qFormat/>
    <w:uiPriority w:val="0"/>
    <w:rPr>
      <w:rFonts w:ascii="Times New Roman" w:hAnsi="Times New Roman"/>
      <w:sz w:val="28"/>
      <w:szCs w:val="24"/>
    </w:rPr>
  </w:style>
  <w:style w:type="character" w:customStyle="1" w:styleId="156">
    <w:name w:val="font21"/>
    <w:autoRedefine/>
    <w:qFormat/>
    <w:uiPriority w:val="0"/>
    <w:rPr>
      <w:rFonts w:hint="eastAsia" w:ascii="宋体" w:hAnsi="宋体" w:eastAsia="宋体" w:cs="宋体"/>
      <w:color w:val="000000"/>
      <w:sz w:val="20"/>
      <w:szCs w:val="20"/>
      <w:u w:val="none"/>
    </w:rPr>
  </w:style>
  <w:style w:type="character" w:customStyle="1" w:styleId="157">
    <w:name w:val="HTML 预设格式 字符"/>
    <w:autoRedefine/>
    <w:qFormat/>
    <w:uiPriority w:val="0"/>
    <w:rPr>
      <w:rFonts w:ascii="宋体" w:hAnsi="宋体" w:eastAsia="宋体"/>
      <w:sz w:val="24"/>
      <w:szCs w:val="24"/>
    </w:rPr>
  </w:style>
  <w:style w:type="character" w:customStyle="1" w:styleId="158">
    <w:name w:val="雷正文 Char"/>
    <w:link w:val="159"/>
    <w:autoRedefine/>
    <w:qFormat/>
    <w:uiPriority w:val="0"/>
    <w:rPr>
      <w:sz w:val="28"/>
      <w:szCs w:val="28"/>
    </w:rPr>
  </w:style>
  <w:style w:type="paragraph" w:customStyle="1" w:styleId="159">
    <w:name w:val="雷正文"/>
    <w:basedOn w:val="1"/>
    <w:link w:val="158"/>
    <w:autoRedefine/>
    <w:qFormat/>
    <w:uiPriority w:val="0"/>
    <w:rPr>
      <w:kern w:val="0"/>
      <w:sz w:val="28"/>
      <w:szCs w:val="28"/>
    </w:rPr>
  </w:style>
  <w:style w:type="character" w:customStyle="1" w:styleId="160">
    <w:name w:val="公文:黑体标题 字符"/>
    <w:link w:val="161"/>
    <w:autoRedefine/>
    <w:qFormat/>
    <w:uiPriority w:val="0"/>
    <w:rPr>
      <w:rFonts w:eastAsia="黑体"/>
      <w:sz w:val="44"/>
    </w:rPr>
  </w:style>
  <w:style w:type="paragraph" w:customStyle="1" w:styleId="161">
    <w:name w:val="公文:黑体标题"/>
    <w:basedOn w:val="1"/>
    <w:link w:val="160"/>
    <w:autoRedefine/>
    <w:qFormat/>
    <w:uiPriority w:val="0"/>
    <w:pPr>
      <w:ind w:firstLine="560"/>
      <w:jc w:val="center"/>
    </w:pPr>
    <w:rPr>
      <w:rFonts w:eastAsia="黑体"/>
      <w:kern w:val="0"/>
      <w:sz w:val="44"/>
      <w:szCs w:val="20"/>
    </w:rPr>
  </w:style>
  <w:style w:type="character" w:customStyle="1" w:styleId="162">
    <w:name w:val="cucd-0 Char1"/>
    <w:link w:val="163"/>
    <w:autoRedefine/>
    <w:qFormat/>
    <w:uiPriority w:val="0"/>
    <w:rPr>
      <w:sz w:val="24"/>
      <w:lang w:val="en-US" w:eastAsia="zh-CN" w:bidi="ar-SA"/>
    </w:rPr>
  </w:style>
  <w:style w:type="paragraph" w:customStyle="1" w:styleId="163">
    <w:name w:val="cucd-0"/>
    <w:link w:val="162"/>
    <w:autoRedefine/>
    <w:qFormat/>
    <w:uiPriority w:val="0"/>
    <w:pPr>
      <w:spacing w:line="360" w:lineRule="auto"/>
      <w:ind w:firstLine="480" w:firstLineChars="200"/>
      <w:jc w:val="both"/>
    </w:pPr>
    <w:rPr>
      <w:rFonts w:ascii="Times New Roman" w:hAnsi="Times New Roman" w:eastAsia="宋体" w:cs="Times New Roman"/>
      <w:sz w:val="24"/>
      <w:lang w:val="en-US" w:eastAsia="zh-CN" w:bidi="ar-SA"/>
    </w:rPr>
  </w:style>
  <w:style w:type="character" w:customStyle="1" w:styleId="164">
    <w:name w:val="公文:小标宋标题 字符"/>
    <w:link w:val="165"/>
    <w:autoRedefine/>
    <w:qFormat/>
    <w:uiPriority w:val="0"/>
    <w:rPr>
      <w:rFonts w:eastAsia="方正小标宋_GBK"/>
      <w:sz w:val="44"/>
    </w:rPr>
  </w:style>
  <w:style w:type="paragraph" w:customStyle="1" w:styleId="165">
    <w:name w:val="公文:小标宋标题"/>
    <w:basedOn w:val="1"/>
    <w:link w:val="164"/>
    <w:autoRedefine/>
    <w:qFormat/>
    <w:uiPriority w:val="0"/>
    <w:pPr>
      <w:ind w:firstLine="560"/>
      <w:jc w:val="center"/>
    </w:pPr>
    <w:rPr>
      <w:rFonts w:eastAsia="方正小标宋_GBK"/>
      <w:kern w:val="0"/>
      <w:sz w:val="44"/>
      <w:szCs w:val="20"/>
    </w:rPr>
  </w:style>
  <w:style w:type="character" w:customStyle="1" w:styleId="166">
    <w:name w:val="页眉 字符"/>
    <w:autoRedefine/>
    <w:qFormat/>
    <w:uiPriority w:val="99"/>
    <w:rPr>
      <w:rFonts w:ascii="Times New Roman" w:hAnsi="Times New Roman" w:eastAsia="宋体"/>
      <w:sz w:val="18"/>
      <w:szCs w:val="18"/>
    </w:rPr>
  </w:style>
  <w:style w:type="character" w:customStyle="1" w:styleId="167">
    <w:name w:val="页脚 字符"/>
    <w:autoRedefine/>
    <w:qFormat/>
    <w:uiPriority w:val="99"/>
    <w:rPr>
      <w:rFonts w:ascii="Times New Roman" w:hAnsi="Times New Roman" w:eastAsia="宋体"/>
      <w:sz w:val="18"/>
      <w:szCs w:val="18"/>
    </w:rPr>
  </w:style>
  <w:style w:type="character" w:customStyle="1" w:styleId="168">
    <w:name w:val="cucd-TB-Head Char"/>
    <w:link w:val="169"/>
    <w:autoRedefine/>
    <w:qFormat/>
    <w:uiPriority w:val="0"/>
    <w:rPr>
      <w:rFonts w:eastAsia="黑体"/>
    </w:rPr>
  </w:style>
  <w:style w:type="paragraph" w:customStyle="1" w:styleId="169">
    <w:name w:val="cucd-TB-Head"/>
    <w:basedOn w:val="1"/>
    <w:next w:val="163"/>
    <w:link w:val="168"/>
    <w:autoRedefine/>
    <w:qFormat/>
    <w:uiPriority w:val="0"/>
    <w:pPr>
      <w:jc w:val="center"/>
    </w:pPr>
    <w:rPr>
      <w:rFonts w:eastAsia="黑体"/>
      <w:kern w:val="0"/>
      <w:sz w:val="20"/>
      <w:szCs w:val="20"/>
    </w:rPr>
  </w:style>
  <w:style w:type="character" w:customStyle="1" w:styleId="170">
    <w:name w:val="正文 缩进 Char"/>
    <w:link w:val="171"/>
    <w:autoRedefine/>
    <w:qFormat/>
    <w:uiPriority w:val="0"/>
    <w:rPr>
      <w:rFonts w:ascii="宋体" w:hAnsi="宋体"/>
      <w:sz w:val="24"/>
      <w:szCs w:val="24"/>
    </w:rPr>
  </w:style>
  <w:style w:type="paragraph" w:customStyle="1" w:styleId="171">
    <w:name w:val="正文 缩进"/>
    <w:basedOn w:val="1"/>
    <w:link w:val="170"/>
    <w:autoRedefine/>
    <w:qFormat/>
    <w:uiPriority w:val="0"/>
    <w:pPr>
      <w:widowControl/>
      <w:snapToGrid w:val="0"/>
      <w:ind w:firstLine="480"/>
      <w:jc w:val="left"/>
    </w:pPr>
    <w:rPr>
      <w:rFonts w:ascii="宋体" w:hAnsi="宋体"/>
      <w:kern w:val="0"/>
      <w:szCs w:val="24"/>
    </w:rPr>
  </w:style>
  <w:style w:type="character" w:customStyle="1" w:styleId="172">
    <w:name w:val="正文文本缩进 字符"/>
    <w:autoRedefine/>
    <w:semiHidden/>
    <w:qFormat/>
    <w:uiPriority w:val="99"/>
    <w:rPr>
      <w:rFonts w:ascii="Times New Roman" w:hAnsi="Times New Roman" w:eastAsia="宋体"/>
      <w:sz w:val="28"/>
    </w:rPr>
  </w:style>
  <w:style w:type="character" w:customStyle="1" w:styleId="173">
    <w:name w:val="段 Char"/>
    <w:link w:val="174"/>
    <w:autoRedefine/>
    <w:qFormat/>
    <w:locked/>
    <w:uiPriority w:val="0"/>
    <w:rPr>
      <w:rFonts w:ascii="宋体"/>
      <w:kern w:val="2"/>
      <w:sz w:val="21"/>
      <w:szCs w:val="22"/>
      <w:lang w:val="en-US" w:eastAsia="zh-CN" w:bidi="ar-SA"/>
    </w:rPr>
  </w:style>
  <w:style w:type="paragraph" w:customStyle="1" w:styleId="174">
    <w:name w:val="段"/>
    <w:link w:val="173"/>
    <w:autoRedefine/>
    <w:qFormat/>
    <w:uiPriority w:val="0"/>
    <w:pPr>
      <w:autoSpaceDE w:val="0"/>
      <w:autoSpaceDN w:val="0"/>
      <w:ind w:firstLine="200" w:firstLineChars="200"/>
      <w:jc w:val="both"/>
    </w:pPr>
    <w:rPr>
      <w:rFonts w:ascii="宋体" w:hAnsi="Times New Roman" w:eastAsia="宋体" w:cs="Times New Roman"/>
      <w:kern w:val="2"/>
      <w:sz w:val="21"/>
      <w:szCs w:val="22"/>
      <w:lang w:val="en-US" w:eastAsia="zh-CN" w:bidi="ar-SA"/>
    </w:rPr>
  </w:style>
  <w:style w:type="character" w:customStyle="1" w:styleId="175">
    <w:name w:val="公文:3级标题 字符"/>
    <w:link w:val="176"/>
    <w:autoRedefine/>
    <w:qFormat/>
    <w:uiPriority w:val="0"/>
    <w:rPr>
      <w:rFonts w:eastAsia="仿宋"/>
      <w:kern w:val="2"/>
      <w:sz w:val="32"/>
      <w:szCs w:val="22"/>
    </w:rPr>
  </w:style>
  <w:style w:type="paragraph" w:customStyle="1" w:styleId="176">
    <w:name w:val="公文:3级标题"/>
    <w:basedOn w:val="1"/>
    <w:link w:val="175"/>
    <w:autoRedefine/>
    <w:qFormat/>
    <w:uiPriority w:val="0"/>
    <w:pPr>
      <w:ind w:left="560" w:firstLine="0"/>
    </w:pPr>
    <w:rPr>
      <w:rFonts w:eastAsia="仿宋"/>
      <w:sz w:val="32"/>
    </w:rPr>
  </w:style>
  <w:style w:type="character" w:customStyle="1" w:styleId="177">
    <w:name w:val="A06正文 Char"/>
    <w:link w:val="178"/>
    <w:autoRedefine/>
    <w:qFormat/>
    <w:uiPriority w:val="0"/>
    <w:rPr>
      <w:rFonts w:ascii="Arial" w:hAnsi="Arial"/>
      <w:sz w:val="24"/>
      <w:szCs w:val="24"/>
    </w:rPr>
  </w:style>
  <w:style w:type="paragraph" w:customStyle="1" w:styleId="178">
    <w:name w:val="A06正文"/>
    <w:basedOn w:val="1"/>
    <w:link w:val="177"/>
    <w:autoRedefine/>
    <w:qFormat/>
    <w:uiPriority w:val="0"/>
    <w:pPr>
      <w:widowControl/>
      <w:contextualSpacing/>
      <w:jc w:val="left"/>
    </w:pPr>
    <w:rPr>
      <w:rFonts w:ascii="Arial" w:hAnsi="Arial"/>
      <w:kern w:val="0"/>
      <w:szCs w:val="24"/>
    </w:rPr>
  </w:style>
  <w:style w:type="character" w:customStyle="1" w:styleId="179">
    <w:name w:val="font81"/>
    <w:autoRedefine/>
    <w:qFormat/>
    <w:uiPriority w:val="0"/>
    <w:rPr>
      <w:rFonts w:hint="default" w:ascii="Times New Roman" w:hAnsi="Times New Roman" w:cs="Times New Roman"/>
      <w:color w:val="000000"/>
      <w:sz w:val="22"/>
      <w:szCs w:val="22"/>
      <w:u w:val="none"/>
      <w:vertAlign w:val="superscript"/>
    </w:rPr>
  </w:style>
  <w:style w:type="character" w:customStyle="1" w:styleId="180">
    <w:name w:val="Default Char"/>
    <w:link w:val="181"/>
    <w:autoRedefine/>
    <w:qFormat/>
    <w:locked/>
    <w:uiPriority w:val="0"/>
    <w:rPr>
      <w:rFonts w:ascii="宋体"/>
      <w:color w:val="000000"/>
      <w:sz w:val="24"/>
      <w:szCs w:val="24"/>
      <w:lang w:val="en-US" w:eastAsia="zh-CN" w:bidi="ar-SA"/>
    </w:rPr>
  </w:style>
  <w:style w:type="paragraph" w:customStyle="1" w:styleId="181">
    <w:name w:val="Default"/>
    <w:link w:val="180"/>
    <w:autoRedefine/>
    <w:qFormat/>
    <w:uiPriority w:val="99"/>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82">
    <w:name w:val="★正文 Char"/>
    <w:link w:val="183"/>
    <w:autoRedefine/>
    <w:qFormat/>
    <w:uiPriority w:val="0"/>
    <w:rPr>
      <w:sz w:val="24"/>
    </w:rPr>
  </w:style>
  <w:style w:type="paragraph" w:customStyle="1" w:styleId="183">
    <w:name w:val="★正文"/>
    <w:basedOn w:val="1"/>
    <w:link w:val="182"/>
    <w:autoRedefine/>
    <w:qFormat/>
    <w:uiPriority w:val="0"/>
    <w:pPr>
      <w:spacing w:beforeLines="20"/>
    </w:pPr>
    <w:rPr>
      <w:kern w:val="0"/>
      <w:szCs w:val="20"/>
    </w:rPr>
  </w:style>
  <w:style w:type="character" w:customStyle="1" w:styleId="184">
    <w:name w:val="正文表头 Char Char"/>
    <w:link w:val="185"/>
    <w:autoRedefine/>
    <w:qFormat/>
    <w:uiPriority w:val="0"/>
    <w:rPr>
      <w:b/>
      <w:szCs w:val="21"/>
    </w:rPr>
  </w:style>
  <w:style w:type="paragraph" w:customStyle="1" w:styleId="185">
    <w:name w:val="正文表头"/>
    <w:basedOn w:val="1"/>
    <w:link w:val="184"/>
    <w:autoRedefine/>
    <w:qFormat/>
    <w:uiPriority w:val="0"/>
    <w:pPr>
      <w:adjustRightInd w:val="0"/>
      <w:snapToGrid w:val="0"/>
      <w:ind w:firstLine="480" w:firstLineChars="0"/>
      <w:jc w:val="center"/>
    </w:pPr>
    <w:rPr>
      <w:b/>
      <w:kern w:val="0"/>
      <w:sz w:val="20"/>
      <w:szCs w:val="21"/>
    </w:rPr>
  </w:style>
  <w:style w:type="character" w:customStyle="1" w:styleId="186">
    <w:name w:val="未处理的提及1"/>
    <w:autoRedefine/>
    <w:unhideWhenUsed/>
    <w:qFormat/>
    <w:uiPriority w:val="99"/>
    <w:rPr>
      <w:color w:val="605E5C"/>
      <w:shd w:val="clear" w:color="auto" w:fill="E1DFDD"/>
    </w:rPr>
  </w:style>
  <w:style w:type="character" w:customStyle="1" w:styleId="187">
    <w:name w:val="图片格式 字符"/>
    <w:link w:val="188"/>
    <w:autoRedefine/>
    <w:qFormat/>
    <w:uiPriority w:val="0"/>
    <w:rPr>
      <w:rFonts w:ascii="宋体" w:hAnsi="宋体"/>
      <w:b/>
      <w:bCs/>
      <w:sz w:val="28"/>
    </w:rPr>
  </w:style>
  <w:style w:type="paragraph" w:customStyle="1" w:styleId="188">
    <w:name w:val="图片格式"/>
    <w:basedOn w:val="1"/>
    <w:link w:val="187"/>
    <w:autoRedefine/>
    <w:qFormat/>
    <w:uiPriority w:val="0"/>
    <w:pPr>
      <w:spacing w:after="480" w:line="0" w:lineRule="atLeast"/>
      <w:ind w:firstLine="0" w:firstLineChars="0"/>
      <w:jc w:val="center"/>
    </w:pPr>
    <w:rPr>
      <w:rFonts w:ascii="宋体" w:hAnsi="宋体"/>
      <w:b/>
      <w:bCs/>
      <w:kern w:val="0"/>
      <w:sz w:val="28"/>
      <w:szCs w:val="20"/>
    </w:rPr>
  </w:style>
  <w:style w:type="character" w:customStyle="1" w:styleId="189">
    <w:name w:val="正文-1 Char"/>
    <w:link w:val="190"/>
    <w:autoRedefine/>
    <w:qFormat/>
    <w:locked/>
    <w:uiPriority w:val="0"/>
    <w:rPr>
      <w:rFonts w:eastAsia="微软雅黑"/>
      <w:kern w:val="18"/>
      <w:lang w:val="en-US" w:eastAsia="zh-CN" w:bidi="ar-SA"/>
    </w:rPr>
  </w:style>
  <w:style w:type="paragraph" w:customStyle="1" w:styleId="190">
    <w:name w:val="正文-1"/>
    <w:link w:val="189"/>
    <w:autoRedefine/>
    <w:qFormat/>
    <w:uiPriority w:val="0"/>
    <w:pPr>
      <w:snapToGrid w:val="0"/>
      <w:spacing w:line="400" w:lineRule="exact"/>
      <w:ind w:firstLine="200" w:firstLineChars="200"/>
    </w:pPr>
    <w:rPr>
      <w:rFonts w:ascii="Times New Roman" w:hAnsi="Times New Roman" w:eastAsia="微软雅黑" w:cs="Times New Roman"/>
      <w:kern w:val="18"/>
      <w:lang w:val="en-US" w:eastAsia="zh-CN" w:bidi="ar-SA"/>
    </w:rPr>
  </w:style>
  <w:style w:type="character" w:customStyle="1" w:styleId="191">
    <w:name w:val="★表格 Char"/>
    <w:link w:val="192"/>
    <w:autoRedefine/>
    <w:qFormat/>
    <w:uiPriority w:val="0"/>
    <w:rPr>
      <w:rFonts w:ascii="Arial" w:hAnsi="Arial"/>
    </w:rPr>
  </w:style>
  <w:style w:type="paragraph" w:customStyle="1" w:styleId="192">
    <w:name w:val="★表格"/>
    <w:basedOn w:val="1"/>
    <w:link w:val="191"/>
    <w:autoRedefine/>
    <w:qFormat/>
    <w:uiPriority w:val="0"/>
    <w:pPr>
      <w:spacing w:line="240" w:lineRule="auto"/>
      <w:ind w:firstLine="0" w:firstLineChars="0"/>
      <w:jc w:val="center"/>
    </w:pPr>
    <w:rPr>
      <w:rFonts w:ascii="Arial" w:hAnsi="Arial"/>
      <w:kern w:val="0"/>
      <w:sz w:val="20"/>
      <w:szCs w:val="20"/>
    </w:rPr>
  </w:style>
  <w:style w:type="character" w:customStyle="1" w:styleId="193">
    <w:name w:val="+正文 Char"/>
    <w:link w:val="194"/>
    <w:autoRedefine/>
    <w:qFormat/>
    <w:uiPriority w:val="0"/>
    <w:rPr>
      <w:b/>
      <w:sz w:val="28"/>
      <w:szCs w:val="28"/>
    </w:rPr>
  </w:style>
  <w:style w:type="paragraph" w:customStyle="1" w:styleId="194">
    <w:name w:val="+正文"/>
    <w:basedOn w:val="1"/>
    <w:link w:val="193"/>
    <w:autoRedefine/>
    <w:qFormat/>
    <w:uiPriority w:val="0"/>
    <w:rPr>
      <w:b/>
      <w:kern w:val="0"/>
      <w:sz w:val="28"/>
      <w:szCs w:val="28"/>
    </w:rPr>
  </w:style>
  <w:style w:type="character" w:customStyle="1" w:styleId="195">
    <w:name w:val="正文1 Char"/>
    <w:link w:val="196"/>
    <w:autoRedefine/>
    <w:qFormat/>
    <w:locked/>
    <w:uiPriority w:val="0"/>
    <w:rPr>
      <w:rFonts w:ascii="宋体" w:hAnsi="宋体"/>
      <w:sz w:val="24"/>
      <w:szCs w:val="24"/>
    </w:rPr>
  </w:style>
  <w:style w:type="paragraph" w:customStyle="1" w:styleId="196">
    <w:name w:val="正文1"/>
    <w:basedOn w:val="1"/>
    <w:next w:val="1"/>
    <w:link w:val="195"/>
    <w:autoRedefine/>
    <w:qFormat/>
    <w:uiPriority w:val="0"/>
    <w:pPr>
      <w:spacing w:beforeLines="50" w:line="240" w:lineRule="auto"/>
      <w:ind w:left="210" w:leftChars="100" w:firstLine="485" w:firstLineChars="202"/>
      <w:jc w:val="left"/>
    </w:pPr>
    <w:rPr>
      <w:rFonts w:ascii="宋体" w:hAnsi="宋体"/>
      <w:kern w:val="0"/>
      <w:szCs w:val="24"/>
    </w:rPr>
  </w:style>
  <w:style w:type="character" w:customStyle="1" w:styleId="197">
    <w:name w:val="★3级 Char"/>
    <w:link w:val="198"/>
    <w:autoRedefine/>
    <w:qFormat/>
    <w:uiPriority w:val="0"/>
    <w:rPr>
      <w:b/>
      <w:sz w:val="24"/>
      <w:szCs w:val="24"/>
    </w:rPr>
  </w:style>
  <w:style w:type="paragraph" w:customStyle="1" w:styleId="198">
    <w:name w:val="★3级"/>
    <w:basedOn w:val="1"/>
    <w:link w:val="197"/>
    <w:autoRedefine/>
    <w:qFormat/>
    <w:uiPriority w:val="0"/>
    <w:pPr>
      <w:keepNext/>
      <w:autoSpaceDE w:val="0"/>
      <w:autoSpaceDN w:val="0"/>
      <w:adjustRightInd w:val="0"/>
      <w:spacing w:beforeLines="50"/>
      <w:ind w:firstLine="0" w:firstLineChars="0"/>
      <w:jc w:val="left"/>
      <w:outlineLvl w:val="4"/>
    </w:pPr>
    <w:rPr>
      <w:b/>
      <w:kern w:val="0"/>
      <w:szCs w:val="24"/>
    </w:rPr>
  </w:style>
  <w:style w:type="character" w:customStyle="1" w:styleId="199">
    <w:name w:val="图片 Char"/>
    <w:link w:val="200"/>
    <w:autoRedefine/>
    <w:qFormat/>
    <w:uiPriority w:val="0"/>
    <w:rPr>
      <w:sz w:val="24"/>
    </w:rPr>
  </w:style>
  <w:style w:type="paragraph" w:customStyle="1" w:styleId="200">
    <w:name w:val="图片"/>
    <w:basedOn w:val="1"/>
    <w:link w:val="199"/>
    <w:autoRedefine/>
    <w:qFormat/>
    <w:uiPriority w:val="0"/>
    <w:pPr>
      <w:adjustRightInd w:val="0"/>
      <w:snapToGrid w:val="0"/>
      <w:ind w:firstLine="0" w:firstLineChars="0"/>
      <w:jc w:val="center"/>
    </w:pPr>
    <w:rPr>
      <w:kern w:val="0"/>
      <w:szCs w:val="20"/>
    </w:rPr>
  </w:style>
  <w:style w:type="character" w:customStyle="1" w:styleId="201">
    <w:name w:val="cucd-0 Char Char"/>
    <w:autoRedefine/>
    <w:qFormat/>
    <w:uiPriority w:val="0"/>
    <w:rPr>
      <w:rFonts w:ascii="Times New Roman" w:hAnsi="Times New Roman"/>
      <w:kern w:val="2"/>
      <w:sz w:val="24"/>
      <w:szCs w:val="24"/>
      <w:lang w:bidi="ar-SA"/>
    </w:rPr>
  </w:style>
  <w:style w:type="character" w:customStyle="1" w:styleId="202">
    <w:name w:val="级3 Char"/>
    <w:link w:val="203"/>
    <w:autoRedefine/>
    <w:qFormat/>
    <w:uiPriority w:val="0"/>
    <w:rPr>
      <w:b/>
      <w:sz w:val="28"/>
    </w:rPr>
  </w:style>
  <w:style w:type="paragraph" w:customStyle="1" w:styleId="203">
    <w:name w:val="级3"/>
    <w:basedOn w:val="1"/>
    <w:next w:val="1"/>
    <w:link w:val="202"/>
    <w:autoRedefine/>
    <w:qFormat/>
    <w:uiPriority w:val="0"/>
    <w:pPr>
      <w:ind w:firstLine="50" w:firstLineChars="50"/>
      <w:outlineLvl w:val="2"/>
    </w:pPr>
    <w:rPr>
      <w:b/>
      <w:kern w:val="0"/>
      <w:sz w:val="28"/>
      <w:szCs w:val="20"/>
    </w:rPr>
  </w:style>
  <w:style w:type="character" w:customStyle="1" w:styleId="204">
    <w:name w:val="纯文本 Char1"/>
    <w:autoRedefine/>
    <w:semiHidden/>
    <w:qFormat/>
    <w:uiPriority w:val="99"/>
    <w:rPr>
      <w:rFonts w:ascii="宋体" w:hAnsi="Courier New" w:eastAsia="宋体" w:cs="Courier New"/>
      <w:kern w:val="2"/>
      <w:sz w:val="21"/>
      <w:szCs w:val="21"/>
    </w:rPr>
  </w:style>
  <w:style w:type="character" w:customStyle="1" w:styleId="205">
    <w:name w:val="宋缩进 Char"/>
    <w:link w:val="206"/>
    <w:autoRedefine/>
    <w:qFormat/>
    <w:uiPriority w:val="0"/>
    <w:rPr>
      <w:rFonts w:ascii="宋体" w:hAnsi="宋体" w:cs="宋体"/>
      <w:sz w:val="24"/>
      <w:szCs w:val="24"/>
    </w:rPr>
  </w:style>
  <w:style w:type="paragraph" w:customStyle="1" w:styleId="206">
    <w:name w:val="宋缩进"/>
    <w:basedOn w:val="1"/>
    <w:link w:val="205"/>
    <w:autoRedefine/>
    <w:qFormat/>
    <w:uiPriority w:val="0"/>
    <w:pPr>
      <w:ind w:firstLine="480"/>
      <w:jc w:val="left"/>
    </w:pPr>
    <w:rPr>
      <w:rFonts w:ascii="宋体" w:hAnsi="宋体"/>
      <w:kern w:val="0"/>
      <w:szCs w:val="24"/>
    </w:rPr>
  </w:style>
  <w:style w:type="character" w:customStyle="1" w:styleId="207">
    <w:name w:val="公文:1级标题 字符"/>
    <w:link w:val="208"/>
    <w:autoRedefine/>
    <w:qFormat/>
    <w:uiPriority w:val="0"/>
    <w:rPr>
      <w:rFonts w:eastAsia="黑体"/>
      <w:kern w:val="2"/>
      <w:sz w:val="32"/>
      <w:szCs w:val="22"/>
    </w:rPr>
  </w:style>
  <w:style w:type="paragraph" w:customStyle="1" w:styleId="208">
    <w:name w:val="公文:1级标题"/>
    <w:basedOn w:val="1"/>
    <w:link w:val="207"/>
    <w:autoRedefine/>
    <w:qFormat/>
    <w:uiPriority w:val="0"/>
    <w:pPr>
      <w:ind w:left="560" w:firstLine="0"/>
    </w:pPr>
    <w:rPr>
      <w:rFonts w:eastAsia="黑体"/>
      <w:sz w:val="32"/>
    </w:rPr>
  </w:style>
  <w:style w:type="character" w:customStyle="1" w:styleId="209">
    <w:name w:val="（1）-序号 字符"/>
    <w:link w:val="210"/>
    <w:autoRedefine/>
    <w:qFormat/>
    <w:uiPriority w:val="0"/>
    <w:rPr>
      <w:rFonts w:ascii="宋体" w:hAnsi="宋体"/>
      <w:kern w:val="2"/>
      <w:sz w:val="24"/>
      <w:szCs w:val="22"/>
    </w:rPr>
  </w:style>
  <w:style w:type="paragraph" w:customStyle="1" w:styleId="210">
    <w:name w:val="（1）-序号"/>
    <w:basedOn w:val="1"/>
    <w:next w:val="1"/>
    <w:link w:val="209"/>
    <w:autoRedefine/>
    <w:qFormat/>
    <w:uiPriority w:val="0"/>
    <w:pPr>
      <w:ind w:firstLine="0"/>
    </w:pPr>
    <w:rPr>
      <w:rFonts w:ascii="宋体" w:hAnsi="宋体"/>
    </w:rPr>
  </w:style>
  <w:style w:type="character" w:customStyle="1" w:styleId="211">
    <w:name w:val="正1 Char"/>
    <w:link w:val="212"/>
    <w:autoRedefine/>
    <w:qFormat/>
    <w:uiPriority w:val="0"/>
    <w:rPr>
      <w:sz w:val="24"/>
      <w:szCs w:val="24"/>
    </w:rPr>
  </w:style>
  <w:style w:type="paragraph" w:customStyle="1" w:styleId="212">
    <w:name w:val="正1"/>
    <w:basedOn w:val="15"/>
    <w:link w:val="211"/>
    <w:autoRedefine/>
    <w:qFormat/>
    <w:uiPriority w:val="0"/>
    <w:pPr>
      <w:adjustRightInd w:val="0"/>
      <w:snapToGrid w:val="0"/>
      <w:spacing w:line="440" w:lineRule="exact"/>
      <w:ind w:left="820" w:firstLine="0" w:firstLineChars="0"/>
    </w:pPr>
    <w:rPr>
      <w:kern w:val="0"/>
      <w:szCs w:val="24"/>
    </w:rPr>
  </w:style>
  <w:style w:type="character" w:customStyle="1" w:styleId="213">
    <w:name w:val="【正文】 Char"/>
    <w:link w:val="214"/>
    <w:autoRedefine/>
    <w:qFormat/>
    <w:uiPriority w:val="0"/>
    <w:rPr>
      <w:sz w:val="24"/>
      <w:szCs w:val="24"/>
      <w:lang w:eastAsia="en-US"/>
    </w:rPr>
  </w:style>
  <w:style w:type="paragraph" w:customStyle="1" w:styleId="214">
    <w:name w:val="【正文】"/>
    <w:basedOn w:val="1"/>
    <w:link w:val="213"/>
    <w:autoRedefine/>
    <w:qFormat/>
    <w:uiPriority w:val="0"/>
    <w:pPr>
      <w:spacing w:beforeLines="50"/>
    </w:pPr>
    <w:rPr>
      <w:kern w:val="0"/>
      <w:szCs w:val="24"/>
      <w:lang w:eastAsia="en-US"/>
    </w:rPr>
  </w:style>
  <w:style w:type="character" w:customStyle="1" w:styleId="215">
    <w:name w:val="★正1文 Char"/>
    <w:link w:val="216"/>
    <w:autoRedefine/>
    <w:qFormat/>
    <w:uiPriority w:val="0"/>
    <w:rPr>
      <w:rFonts w:ascii="Arial" w:hAnsi="Arial"/>
      <w:kern w:val="2"/>
      <w:sz w:val="24"/>
      <w:szCs w:val="22"/>
    </w:rPr>
  </w:style>
  <w:style w:type="paragraph" w:customStyle="1" w:styleId="216">
    <w:name w:val="★正1文"/>
    <w:basedOn w:val="1"/>
    <w:link w:val="215"/>
    <w:autoRedefine/>
    <w:qFormat/>
    <w:uiPriority w:val="0"/>
    <w:pPr>
      <w:spacing w:beforeLines="20"/>
      <w:ind w:firstLine="480"/>
    </w:pPr>
    <w:rPr>
      <w:rFonts w:ascii="Arial" w:hAnsi="Arial"/>
    </w:rPr>
  </w:style>
  <w:style w:type="character" w:customStyle="1" w:styleId="217">
    <w:name w:val="脚注文本 字符"/>
    <w:autoRedefine/>
    <w:semiHidden/>
    <w:qFormat/>
    <w:uiPriority w:val="99"/>
    <w:rPr>
      <w:rFonts w:ascii="Times New Roman" w:hAnsi="Times New Roman" w:eastAsia="宋体"/>
      <w:sz w:val="18"/>
      <w:szCs w:val="18"/>
    </w:rPr>
  </w:style>
  <w:style w:type="character" w:customStyle="1" w:styleId="218">
    <w:name w:val="文档结构图 字符"/>
    <w:autoRedefine/>
    <w:semiHidden/>
    <w:qFormat/>
    <w:uiPriority w:val="99"/>
    <w:rPr>
      <w:rFonts w:ascii="Microsoft YaHei UI" w:hAnsi="Times New Roman" w:eastAsia="Microsoft YaHei UI"/>
      <w:sz w:val="18"/>
      <w:szCs w:val="18"/>
    </w:rPr>
  </w:style>
  <w:style w:type="character" w:customStyle="1" w:styleId="219">
    <w:name w:val="序号1-1、 字符"/>
    <w:link w:val="220"/>
    <w:autoRedefine/>
    <w:qFormat/>
    <w:uiPriority w:val="0"/>
    <w:rPr>
      <w:kern w:val="2"/>
      <w:sz w:val="24"/>
      <w:szCs w:val="22"/>
    </w:rPr>
  </w:style>
  <w:style w:type="paragraph" w:customStyle="1" w:styleId="220">
    <w:name w:val="序号1-1、"/>
    <w:basedOn w:val="1"/>
    <w:link w:val="219"/>
    <w:autoRedefine/>
    <w:qFormat/>
    <w:uiPriority w:val="0"/>
    <w:pPr>
      <w:ind w:left="459" w:firstLine="0" w:firstLineChars="0"/>
      <w:jc w:val="left"/>
    </w:pPr>
  </w:style>
  <w:style w:type="character" w:customStyle="1" w:styleId="221">
    <w:name w:val="正文文本 字符"/>
    <w:autoRedefine/>
    <w:semiHidden/>
    <w:qFormat/>
    <w:uiPriority w:val="99"/>
    <w:rPr>
      <w:rFonts w:ascii="Times New Roman" w:hAnsi="Times New Roman" w:eastAsia="宋体"/>
      <w:sz w:val="28"/>
    </w:rPr>
  </w:style>
  <w:style w:type="character" w:customStyle="1" w:styleId="222">
    <w:name w:val="序号3-① 字符"/>
    <w:link w:val="223"/>
    <w:autoRedefine/>
    <w:qFormat/>
    <w:uiPriority w:val="0"/>
    <w:rPr>
      <w:kern w:val="2"/>
      <w:sz w:val="24"/>
      <w:szCs w:val="22"/>
    </w:rPr>
  </w:style>
  <w:style w:type="paragraph" w:customStyle="1" w:styleId="223">
    <w:name w:val="序号3-①"/>
    <w:basedOn w:val="220"/>
    <w:link w:val="222"/>
    <w:autoRedefine/>
    <w:qFormat/>
    <w:uiPriority w:val="0"/>
    <w:pPr>
      <w:ind w:left="0" w:firstLine="480"/>
    </w:pPr>
  </w:style>
  <w:style w:type="character" w:customStyle="1" w:styleId="224">
    <w:name w:val="日期 字符"/>
    <w:autoRedefine/>
    <w:semiHidden/>
    <w:qFormat/>
    <w:uiPriority w:val="99"/>
    <w:rPr>
      <w:rFonts w:ascii="Times New Roman" w:hAnsi="Times New Roman" w:eastAsia="宋体"/>
      <w:sz w:val="28"/>
    </w:rPr>
  </w:style>
  <w:style w:type="character" w:customStyle="1" w:styleId="225">
    <w:name w:val="序号2-（1） 字符"/>
    <w:link w:val="226"/>
    <w:autoRedefine/>
    <w:qFormat/>
    <w:uiPriority w:val="0"/>
    <w:rPr>
      <w:rFonts w:ascii="宋体" w:hAnsi="宋体"/>
      <w:kern w:val="2"/>
      <w:sz w:val="24"/>
      <w:szCs w:val="22"/>
    </w:rPr>
  </w:style>
  <w:style w:type="paragraph" w:customStyle="1" w:styleId="226">
    <w:name w:val="序号2-（1）"/>
    <w:basedOn w:val="223"/>
    <w:link w:val="225"/>
    <w:autoRedefine/>
    <w:qFormat/>
    <w:uiPriority w:val="0"/>
    <w:pPr>
      <w:tabs>
        <w:tab w:val="left" w:pos="459"/>
      </w:tabs>
      <w:ind w:left="459" w:firstLine="0"/>
    </w:pPr>
    <w:rPr>
      <w:rFonts w:ascii="宋体" w:hAnsi="宋体"/>
    </w:rPr>
  </w:style>
  <w:style w:type="character" w:customStyle="1" w:styleId="227">
    <w:name w:val="批注主题 字符"/>
    <w:autoRedefine/>
    <w:semiHidden/>
    <w:qFormat/>
    <w:uiPriority w:val="99"/>
    <w:rPr>
      <w:rFonts w:ascii="Times New Roman" w:hAnsi="Times New Roman" w:eastAsia="宋体"/>
      <w:b/>
      <w:bCs/>
      <w:sz w:val="28"/>
    </w:rPr>
  </w:style>
  <w:style w:type="character" w:customStyle="1" w:styleId="228">
    <w:name w:val="公文:4级标题 字符"/>
    <w:link w:val="229"/>
    <w:autoRedefine/>
    <w:qFormat/>
    <w:uiPriority w:val="0"/>
    <w:rPr>
      <w:rFonts w:eastAsia="仿宋"/>
      <w:kern w:val="2"/>
      <w:sz w:val="32"/>
      <w:szCs w:val="22"/>
    </w:rPr>
  </w:style>
  <w:style w:type="paragraph" w:customStyle="1" w:styleId="229">
    <w:name w:val="公文:4级标题"/>
    <w:basedOn w:val="1"/>
    <w:link w:val="228"/>
    <w:autoRedefine/>
    <w:qFormat/>
    <w:uiPriority w:val="0"/>
    <w:pPr>
      <w:ind w:left="560" w:firstLine="0"/>
    </w:pPr>
    <w:rPr>
      <w:rFonts w:eastAsia="仿宋"/>
      <w:sz w:val="32"/>
    </w:rPr>
  </w:style>
  <w:style w:type="character" w:customStyle="1" w:styleId="230">
    <w:name w:val="公文:2级标题 字符"/>
    <w:link w:val="231"/>
    <w:autoRedefine/>
    <w:qFormat/>
    <w:uiPriority w:val="0"/>
    <w:rPr>
      <w:rFonts w:eastAsia="楷体"/>
      <w:kern w:val="2"/>
      <w:sz w:val="32"/>
      <w:szCs w:val="22"/>
    </w:rPr>
  </w:style>
  <w:style w:type="paragraph" w:customStyle="1" w:styleId="231">
    <w:name w:val="公文:2级标题"/>
    <w:basedOn w:val="1"/>
    <w:link w:val="230"/>
    <w:autoRedefine/>
    <w:qFormat/>
    <w:uiPriority w:val="0"/>
    <w:pPr>
      <w:ind w:left="560" w:firstLine="0"/>
    </w:pPr>
    <w:rPr>
      <w:rFonts w:eastAsia="楷体"/>
      <w:sz w:val="32"/>
    </w:rPr>
  </w:style>
  <w:style w:type="character" w:customStyle="1" w:styleId="232">
    <w:name w:val="公文:正文 字符"/>
    <w:link w:val="233"/>
    <w:autoRedefine/>
    <w:qFormat/>
    <w:uiPriority w:val="0"/>
    <w:rPr>
      <w:rFonts w:eastAsia="仿宋"/>
      <w:sz w:val="32"/>
    </w:rPr>
  </w:style>
  <w:style w:type="paragraph" w:customStyle="1" w:styleId="233">
    <w:name w:val="公文:正文"/>
    <w:basedOn w:val="1"/>
    <w:link w:val="232"/>
    <w:autoRedefine/>
    <w:qFormat/>
    <w:uiPriority w:val="0"/>
    <w:pPr>
      <w:ind w:firstLine="560"/>
    </w:pPr>
    <w:rPr>
      <w:rFonts w:eastAsia="仿宋"/>
      <w:kern w:val="0"/>
      <w:sz w:val="32"/>
      <w:szCs w:val="20"/>
    </w:rPr>
  </w:style>
  <w:style w:type="character" w:customStyle="1" w:styleId="234">
    <w:name w:val="级5 Char"/>
    <w:link w:val="235"/>
    <w:autoRedefine/>
    <w:qFormat/>
    <w:uiPriority w:val="0"/>
    <w:rPr>
      <w:b/>
    </w:rPr>
  </w:style>
  <w:style w:type="paragraph" w:customStyle="1" w:styleId="235">
    <w:name w:val="级5"/>
    <w:basedOn w:val="151"/>
    <w:link w:val="234"/>
    <w:autoRedefine/>
    <w:qFormat/>
    <w:uiPriority w:val="0"/>
    <w:pPr>
      <w:adjustRightInd/>
      <w:outlineLvl w:val="4"/>
    </w:pPr>
    <w:rPr>
      <w:rFonts w:ascii="Times New Roman" w:hAnsi="Times New Roman"/>
      <w:b/>
      <w:sz w:val="20"/>
    </w:rPr>
  </w:style>
  <w:style w:type="character" w:customStyle="1" w:styleId="236">
    <w:name w:val="font51"/>
    <w:autoRedefine/>
    <w:qFormat/>
    <w:uiPriority w:val="0"/>
    <w:rPr>
      <w:rFonts w:hint="eastAsia" w:ascii="宋体" w:hAnsi="宋体" w:eastAsia="宋体" w:cs="宋体"/>
      <w:color w:val="000000"/>
      <w:sz w:val="20"/>
      <w:szCs w:val="20"/>
      <w:u w:val="none"/>
    </w:rPr>
  </w:style>
  <w:style w:type="character" w:customStyle="1" w:styleId="237">
    <w:name w:val="纯文本 字符"/>
    <w:autoRedefine/>
    <w:qFormat/>
    <w:locked/>
    <w:uiPriority w:val="0"/>
    <w:rPr>
      <w:rFonts w:ascii="宋体" w:hAnsi="Courier New"/>
    </w:rPr>
  </w:style>
  <w:style w:type="character" w:customStyle="1" w:styleId="238">
    <w:name w:val="批注框文本 字符"/>
    <w:autoRedefine/>
    <w:semiHidden/>
    <w:qFormat/>
    <w:uiPriority w:val="99"/>
    <w:rPr>
      <w:rFonts w:ascii="Times New Roman" w:hAnsi="Times New Roman" w:eastAsia="宋体"/>
      <w:sz w:val="18"/>
      <w:szCs w:val="18"/>
    </w:rPr>
  </w:style>
  <w:style w:type="character" w:customStyle="1" w:styleId="239">
    <w:name w:val="正文文本缩进 3 字符"/>
    <w:autoRedefine/>
    <w:qFormat/>
    <w:uiPriority w:val="0"/>
    <w:rPr>
      <w:rFonts w:ascii="宋体" w:hAnsi="Times New Roman" w:eastAsia="宋体"/>
      <w:kern w:val="2"/>
      <w:sz w:val="28"/>
      <w:szCs w:val="22"/>
    </w:rPr>
  </w:style>
  <w:style w:type="character" w:customStyle="1" w:styleId="240">
    <w:name w:val="font41"/>
    <w:autoRedefine/>
    <w:qFormat/>
    <w:uiPriority w:val="0"/>
    <w:rPr>
      <w:rFonts w:hint="eastAsia" w:ascii="宋体" w:hAnsi="宋体" w:eastAsia="宋体"/>
      <w:color w:val="000000"/>
      <w:sz w:val="20"/>
      <w:szCs w:val="20"/>
      <w:u w:val="none"/>
    </w:rPr>
  </w:style>
  <w:style w:type="character" w:customStyle="1" w:styleId="241">
    <w:name w:val="font11"/>
    <w:autoRedefine/>
    <w:qFormat/>
    <w:uiPriority w:val="0"/>
    <w:rPr>
      <w:rFonts w:hint="eastAsia" w:ascii="宋体" w:hAnsi="宋体" w:eastAsia="宋体"/>
      <w:color w:val="000000"/>
      <w:sz w:val="20"/>
      <w:szCs w:val="20"/>
      <w:u w:val="none"/>
    </w:rPr>
  </w:style>
  <w:style w:type="character" w:customStyle="1" w:styleId="242">
    <w:name w:val="font91"/>
    <w:autoRedefine/>
    <w:qFormat/>
    <w:uiPriority w:val="0"/>
    <w:rPr>
      <w:rFonts w:hint="default" w:ascii="Times New Roman" w:hAnsi="Times New Roman" w:cs="Times New Roman"/>
      <w:color w:val="000000"/>
      <w:sz w:val="20"/>
      <w:szCs w:val="20"/>
      <w:u w:val="none"/>
    </w:rPr>
  </w:style>
  <w:style w:type="character" w:customStyle="1" w:styleId="243">
    <w:name w:val="font101"/>
    <w:autoRedefine/>
    <w:qFormat/>
    <w:uiPriority w:val="0"/>
    <w:rPr>
      <w:rFonts w:hint="eastAsia" w:ascii="宋体" w:hAnsi="宋体" w:eastAsia="宋体"/>
      <w:color w:val="000000"/>
      <w:sz w:val="20"/>
      <w:szCs w:val="20"/>
      <w:u w:val="none"/>
      <w:vertAlign w:val="superscript"/>
    </w:rPr>
  </w:style>
  <w:style w:type="character" w:customStyle="1" w:styleId="244">
    <w:name w:val="正文首行缩进 Char1"/>
    <w:autoRedefine/>
    <w:qFormat/>
    <w:uiPriority w:val="99"/>
    <w:rPr>
      <w:rFonts w:eastAsia="黑体"/>
      <w:sz w:val="21"/>
      <w:szCs w:val="24"/>
    </w:rPr>
  </w:style>
  <w:style w:type="paragraph" w:customStyle="1" w:styleId="245">
    <w:name w:val="g正文缩进"/>
    <w:basedOn w:val="1"/>
    <w:autoRedefine/>
    <w:qFormat/>
    <w:uiPriority w:val="0"/>
    <w:pPr>
      <w:spacing w:line="560" w:lineRule="exact"/>
      <w:ind w:firstLine="560"/>
    </w:pPr>
    <w:rPr>
      <w:szCs w:val="20"/>
    </w:rPr>
  </w:style>
  <w:style w:type="paragraph" w:customStyle="1" w:styleId="246">
    <w:name w:val="镇江 标题 1"/>
    <w:basedOn w:val="5"/>
    <w:autoRedefine/>
    <w:qFormat/>
    <w:uiPriority w:val="0"/>
    <w:pPr>
      <w:widowControl/>
      <w:tabs>
        <w:tab w:val="left" w:pos="425"/>
        <w:tab w:val="left" w:pos="840"/>
      </w:tabs>
      <w:snapToGrid w:val="0"/>
      <w:spacing w:before="240" w:after="240" w:line="360" w:lineRule="auto"/>
      <w:jc w:val="center"/>
    </w:pPr>
    <w:rPr>
      <w:sz w:val="30"/>
      <w:szCs w:val="30"/>
    </w:rPr>
  </w:style>
  <w:style w:type="paragraph" w:customStyle="1" w:styleId="247">
    <w:name w:val="cucd-2"/>
    <w:next w:val="248"/>
    <w:autoRedefine/>
    <w:qFormat/>
    <w:uiPriority w:val="0"/>
    <w:pPr>
      <w:tabs>
        <w:tab w:val="left" w:pos="567"/>
      </w:tabs>
      <w:spacing w:line="360" w:lineRule="auto"/>
      <w:ind w:left="992" w:hanging="567"/>
      <w:outlineLvl w:val="1"/>
    </w:pPr>
    <w:rPr>
      <w:rFonts w:ascii="Times New Roman" w:hAnsi="Times New Roman" w:eastAsia="黑体" w:cs="Times New Roman"/>
      <w:b/>
      <w:kern w:val="2"/>
      <w:sz w:val="30"/>
      <w:szCs w:val="24"/>
      <w:lang w:val="en-US" w:eastAsia="zh-CN" w:bidi="ar-SA"/>
    </w:rPr>
  </w:style>
  <w:style w:type="paragraph" w:customStyle="1" w:styleId="248">
    <w:name w:val="cucd-3"/>
    <w:next w:val="249"/>
    <w:autoRedefine/>
    <w:qFormat/>
    <w:uiPriority w:val="0"/>
    <w:pPr>
      <w:tabs>
        <w:tab w:val="left" w:pos="709"/>
      </w:tabs>
      <w:spacing w:line="360" w:lineRule="auto"/>
      <w:ind w:left="1418" w:hanging="567"/>
      <w:outlineLvl w:val="2"/>
    </w:pPr>
    <w:rPr>
      <w:rFonts w:ascii="Times New Roman" w:hAnsi="Times New Roman" w:eastAsia="宋体" w:cs="Times New Roman"/>
      <w:b/>
      <w:kern w:val="2"/>
      <w:sz w:val="28"/>
      <w:szCs w:val="24"/>
      <w:lang w:val="en-US" w:eastAsia="zh-CN" w:bidi="ar-SA"/>
    </w:rPr>
  </w:style>
  <w:style w:type="paragraph" w:customStyle="1" w:styleId="249">
    <w:name w:val="cucd-4"/>
    <w:next w:val="163"/>
    <w:autoRedefine/>
    <w:qFormat/>
    <w:uiPriority w:val="0"/>
    <w:pPr>
      <w:tabs>
        <w:tab w:val="left" w:pos="851"/>
      </w:tabs>
      <w:spacing w:line="360" w:lineRule="auto"/>
      <w:ind w:left="1984" w:hanging="708"/>
      <w:outlineLvl w:val="3"/>
    </w:pPr>
    <w:rPr>
      <w:rFonts w:ascii="Times New Roman" w:hAnsi="Times New Roman" w:eastAsia="宋体" w:cs="Times New Roman"/>
      <w:b/>
      <w:kern w:val="2"/>
      <w:sz w:val="24"/>
      <w:szCs w:val="24"/>
      <w:lang w:val="en-US" w:eastAsia="zh-CN" w:bidi="ar-SA"/>
    </w:rPr>
  </w:style>
  <w:style w:type="paragraph" w:customStyle="1" w:styleId="250">
    <w:name w:val="SJ首行缩进"/>
    <w:basedOn w:val="1"/>
    <w:autoRedefine/>
    <w:qFormat/>
    <w:uiPriority w:val="0"/>
    <w:pPr>
      <w:widowControl/>
      <w:spacing w:line="400" w:lineRule="exact"/>
      <w:jc w:val="left"/>
    </w:pPr>
    <w:rPr>
      <w:rFonts w:ascii="Arial" w:hAnsi="Arial"/>
      <w:kern w:val="0"/>
      <w:lang w:eastAsia="en-US" w:bidi="en-US"/>
    </w:rPr>
  </w:style>
  <w:style w:type="paragraph" w:customStyle="1" w:styleId="251">
    <w:name w:val="Body text|1"/>
    <w:basedOn w:val="1"/>
    <w:autoRedefine/>
    <w:qFormat/>
    <w:uiPriority w:val="0"/>
    <w:pPr>
      <w:ind w:firstLine="0" w:firstLineChars="0"/>
    </w:pPr>
    <w:rPr>
      <w:rFonts w:ascii="MingLiU" w:hAnsi="MingLiU" w:eastAsia="MingLiU" w:cs="MingLiU"/>
      <w:kern w:val="0"/>
      <w:sz w:val="20"/>
      <w:szCs w:val="20"/>
      <w:lang w:val="zh-TW" w:eastAsia="zh-TW" w:bidi="zh-TW"/>
    </w:rPr>
  </w:style>
  <w:style w:type="paragraph" w:customStyle="1" w:styleId="252">
    <w:name w:val="正文01"/>
    <w:basedOn w:val="1"/>
    <w:autoRedefine/>
    <w:qFormat/>
    <w:uiPriority w:val="0"/>
    <w:pPr>
      <w:ind w:firstLine="0" w:firstLineChars="0"/>
      <w:jc w:val="center"/>
    </w:pPr>
    <w:rPr>
      <w:bCs/>
      <w:szCs w:val="24"/>
    </w:rPr>
  </w:style>
  <w:style w:type="paragraph" w:customStyle="1" w:styleId="253">
    <w:name w:val="表格内容2"/>
    <w:basedOn w:val="1"/>
    <w:next w:val="1"/>
    <w:autoRedefine/>
    <w:qFormat/>
    <w:uiPriority w:val="0"/>
    <w:pPr>
      <w:spacing w:line="360" w:lineRule="exact"/>
      <w:ind w:firstLine="0" w:firstLineChars="0"/>
    </w:pPr>
  </w:style>
  <w:style w:type="paragraph" w:customStyle="1" w:styleId="254">
    <w:name w:val="标题  3"/>
    <w:basedOn w:val="1"/>
    <w:next w:val="1"/>
    <w:autoRedefine/>
    <w:qFormat/>
    <w:uiPriority w:val="0"/>
    <w:pPr>
      <w:spacing w:line="480" w:lineRule="auto"/>
      <w:ind w:firstLine="640"/>
    </w:pPr>
    <w:rPr>
      <w:b/>
      <w:szCs w:val="24"/>
    </w:rPr>
  </w:style>
  <w:style w:type="paragraph" w:customStyle="1" w:styleId="255">
    <w:name w:val="级2"/>
    <w:basedOn w:val="151"/>
    <w:autoRedefine/>
    <w:qFormat/>
    <w:uiPriority w:val="0"/>
    <w:pPr>
      <w:tabs>
        <w:tab w:val="left" w:pos="360"/>
      </w:tabs>
      <w:outlineLvl w:val="1"/>
    </w:pPr>
    <w:rPr>
      <w:b/>
      <w:sz w:val="28"/>
    </w:rPr>
  </w:style>
  <w:style w:type="paragraph" w:customStyle="1" w:styleId="256">
    <w:name w:val="镇江 正文"/>
    <w:basedOn w:val="1"/>
    <w:autoRedefine/>
    <w:qFormat/>
    <w:uiPriority w:val="0"/>
    <w:pPr>
      <w:widowControl/>
      <w:jc w:val="center"/>
    </w:pPr>
  </w:style>
  <w:style w:type="paragraph" w:customStyle="1" w:styleId="257">
    <w:name w:val="级6"/>
    <w:basedOn w:val="151"/>
    <w:autoRedefine/>
    <w:qFormat/>
    <w:uiPriority w:val="0"/>
    <w:pPr>
      <w:tabs>
        <w:tab w:val="left" w:pos="360"/>
      </w:tabs>
      <w:adjustRightInd/>
      <w:ind w:firstLine="200"/>
      <w:jc w:val="both"/>
      <w:outlineLvl w:val="6"/>
    </w:pPr>
  </w:style>
  <w:style w:type="paragraph" w:customStyle="1" w:styleId="258">
    <w:name w:val="列出段落1"/>
    <w:basedOn w:val="1"/>
    <w:autoRedefine/>
    <w:qFormat/>
    <w:uiPriority w:val="34"/>
    <w:pPr>
      <w:spacing w:line="240" w:lineRule="auto"/>
      <w:ind w:firstLine="420"/>
    </w:pPr>
    <w:rPr>
      <w:szCs w:val="24"/>
    </w:rPr>
  </w:style>
  <w:style w:type="paragraph" w:customStyle="1" w:styleId="259">
    <w:name w:val="表中文字"/>
    <w:basedOn w:val="1"/>
    <w:autoRedefine/>
    <w:qFormat/>
    <w:uiPriority w:val="0"/>
    <w:pPr>
      <w:spacing w:line="400" w:lineRule="exact"/>
      <w:ind w:firstLine="0" w:firstLineChars="0"/>
      <w:jc w:val="center"/>
    </w:pPr>
    <w:rPr>
      <w:rFonts w:ascii="Arial" w:hAnsi="Arial"/>
      <w:szCs w:val="24"/>
    </w:rPr>
  </w:style>
  <w:style w:type="paragraph" w:customStyle="1" w:styleId="260">
    <w:name w:val="无间隔1"/>
    <w:autoRedefine/>
    <w:qFormat/>
    <w:uiPriority w:val="1"/>
    <w:pPr>
      <w:widowControl w:val="0"/>
      <w:jc w:val="both"/>
    </w:pPr>
    <w:rPr>
      <w:rFonts w:ascii="Calibri" w:hAnsi="Calibri" w:eastAsia="宋体" w:cs="Times New Roman"/>
      <w:kern w:val="2"/>
      <w:sz w:val="21"/>
      <w:szCs w:val="24"/>
      <w:lang w:val="en-US" w:eastAsia="zh-CN" w:bidi="ar-SA"/>
    </w:rPr>
  </w:style>
  <w:style w:type="paragraph" w:customStyle="1" w:styleId="261">
    <w:name w:val="正文-黄"/>
    <w:basedOn w:val="1"/>
    <w:autoRedefine/>
    <w:qFormat/>
    <w:uiPriority w:val="0"/>
    <w:pPr>
      <w:ind w:firstLine="880"/>
    </w:pPr>
    <w:rPr>
      <w:rFonts w:cs="宋体"/>
      <w:kern w:val="0"/>
      <w:szCs w:val="20"/>
    </w:rPr>
  </w:style>
  <w:style w:type="paragraph" w:customStyle="1" w:styleId="262">
    <w:name w:val="级7"/>
    <w:basedOn w:val="151"/>
    <w:autoRedefine/>
    <w:qFormat/>
    <w:uiPriority w:val="0"/>
    <w:pPr>
      <w:tabs>
        <w:tab w:val="left" w:pos="360"/>
      </w:tabs>
      <w:adjustRightInd/>
      <w:ind w:firstLine="200" w:firstLineChars="200"/>
      <w:jc w:val="both"/>
      <w:outlineLvl w:val="7"/>
    </w:pPr>
  </w:style>
  <w:style w:type="paragraph" w:customStyle="1" w:styleId="263">
    <w:name w:val="图名"/>
    <w:basedOn w:val="1"/>
    <w:autoRedefine/>
    <w:qFormat/>
    <w:uiPriority w:val="0"/>
    <w:pPr>
      <w:adjustRightInd w:val="0"/>
      <w:snapToGrid w:val="0"/>
      <w:spacing w:afterLines="50"/>
      <w:ind w:firstLine="0" w:firstLineChars="0"/>
      <w:jc w:val="center"/>
    </w:pPr>
    <w:rPr>
      <w:b/>
      <w:color w:val="000000"/>
      <w:szCs w:val="20"/>
      <w:lang w:bidi="he-IL"/>
    </w:rPr>
  </w:style>
  <w:style w:type="paragraph" w:customStyle="1" w:styleId="264">
    <w:name w:val="Char Char Char"/>
    <w:basedOn w:val="1"/>
    <w:autoRedefine/>
    <w:qFormat/>
    <w:uiPriority w:val="0"/>
    <w:pPr>
      <w:widowControl/>
      <w:adjustRightInd w:val="0"/>
      <w:snapToGrid w:val="0"/>
      <w:jc w:val="left"/>
    </w:pPr>
    <w:rPr>
      <w:rFonts w:ascii="Tahoma" w:hAnsi="Tahoma" w:eastAsia="等线" w:cs="黑体"/>
      <w:snapToGrid w:val="0"/>
      <w:kern w:val="0"/>
      <w:szCs w:val="20"/>
    </w:rPr>
  </w:style>
  <w:style w:type="paragraph" w:customStyle="1" w:styleId="265">
    <w:name w:val="镇江 标题 2"/>
    <w:basedOn w:val="6"/>
    <w:autoRedefine/>
    <w:qFormat/>
    <w:uiPriority w:val="0"/>
    <w:pPr>
      <w:widowControl/>
      <w:tabs>
        <w:tab w:val="left" w:pos="567"/>
      </w:tabs>
      <w:spacing w:before="0" w:after="0" w:line="360" w:lineRule="auto"/>
      <w:jc w:val="center"/>
    </w:pPr>
    <w:rPr>
      <w:rFonts w:ascii="Times New Roman" w:hAnsi="Times New Roman" w:eastAsia="宋体" w:cs="宋体"/>
      <w:sz w:val="28"/>
      <w:szCs w:val="20"/>
    </w:rPr>
  </w:style>
  <w:style w:type="paragraph" w:customStyle="1" w:styleId="266">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图序号"/>
    <w:basedOn w:val="105"/>
    <w:link w:val="268"/>
    <w:autoRedefine/>
    <w:qFormat/>
    <w:uiPriority w:val="0"/>
  </w:style>
  <w:style w:type="character" w:customStyle="1" w:styleId="268">
    <w:name w:val="图序号 字符"/>
    <w:link w:val="267"/>
    <w:autoRedefine/>
    <w:qFormat/>
    <w:uiPriority w:val="0"/>
    <w:rPr>
      <w:rFonts w:ascii="宋体" w:hAnsi="宋体"/>
      <w:b/>
      <w:bCs/>
      <w:kern w:val="2"/>
      <w:sz w:val="24"/>
      <w:szCs w:val="22"/>
    </w:rPr>
  </w:style>
  <w:style w:type="paragraph" w:customStyle="1" w:styleId="269">
    <w:name w:val="正文样式"/>
    <w:basedOn w:val="1"/>
    <w:autoRedefine/>
    <w:qFormat/>
    <w:uiPriority w:val="0"/>
    <w:pPr>
      <w:spacing w:beforeLines="50" w:afterLines="50" w:line="360" w:lineRule="exact"/>
      <w:ind w:firstLine="560"/>
    </w:pPr>
    <w:rPr>
      <w:rFonts w:ascii="Arial" w:hAnsi="Arial"/>
      <w:sz w:val="28"/>
      <w:szCs w:val="24"/>
    </w:rPr>
  </w:style>
  <w:style w:type="paragraph" w:customStyle="1" w:styleId="270">
    <w:name w:val="TOC 标题1"/>
    <w:basedOn w:val="5"/>
    <w:next w:val="1"/>
    <w:autoRedefine/>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271">
    <w:name w:val="表格"/>
    <w:basedOn w:val="1"/>
    <w:next w:val="1"/>
    <w:link w:val="364"/>
    <w:autoRedefine/>
    <w:qFormat/>
    <w:uiPriority w:val="0"/>
    <w:pPr>
      <w:spacing w:line="400" w:lineRule="exact"/>
      <w:ind w:firstLine="0" w:firstLineChars="0"/>
      <w:jc w:val="center"/>
    </w:pPr>
    <w:rPr>
      <w:rFonts w:ascii="Arial" w:hAnsi="Arial"/>
    </w:rPr>
  </w:style>
  <w:style w:type="paragraph" w:customStyle="1" w:styleId="272">
    <w:name w:val="_Style 269"/>
    <w:autoRedefine/>
    <w:unhideWhenUsed/>
    <w:qFormat/>
    <w:uiPriority w:val="99"/>
    <w:rPr>
      <w:rFonts w:ascii="Times New Roman" w:hAnsi="Times New Roman" w:eastAsia="宋体" w:cs="Times New Roman"/>
      <w:kern w:val="2"/>
      <w:sz w:val="24"/>
      <w:szCs w:val="22"/>
      <w:lang w:val="en-US" w:eastAsia="zh-CN" w:bidi="ar-SA"/>
    </w:rPr>
  </w:style>
  <w:style w:type="paragraph" w:customStyle="1" w:styleId="273">
    <w:name w:val="Char"/>
    <w:basedOn w:val="1"/>
    <w:autoRedefine/>
    <w:qFormat/>
    <w:uiPriority w:val="0"/>
    <w:pPr>
      <w:spacing w:line="240" w:lineRule="auto"/>
      <w:ind w:firstLine="0" w:firstLineChars="0"/>
    </w:pPr>
    <w:rPr>
      <w:szCs w:val="24"/>
    </w:rPr>
  </w:style>
  <w:style w:type="paragraph" w:customStyle="1" w:styleId="274">
    <w:name w:val="reader-word-layer"/>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275">
    <w:name w:val="Char1"/>
    <w:basedOn w:val="1"/>
    <w:next w:val="1"/>
    <w:autoRedefine/>
    <w:qFormat/>
    <w:uiPriority w:val="0"/>
    <w:pPr>
      <w:widowControl/>
      <w:ind w:firstLine="480"/>
      <w:jc w:val="left"/>
    </w:pPr>
    <w:rPr>
      <w:rFonts w:ascii="Calibri" w:hAnsi="Calibri"/>
      <w:kern w:val="0"/>
      <w:sz w:val="28"/>
      <w:szCs w:val="24"/>
      <w:lang w:eastAsia="en-US" w:bidi="en-US"/>
    </w:rPr>
  </w:style>
  <w:style w:type="paragraph" w:customStyle="1" w:styleId="276">
    <w:name w:val="样式 样式 样式 样式 标题 1 + 段前: 0.5 行 段后: 0.5 行 + 段前: 0.5 行 段后: 0.5 行 + 段...1"/>
    <w:basedOn w:val="2"/>
    <w:next w:val="36"/>
    <w:autoRedefine/>
    <w:qFormat/>
    <w:uiPriority w:val="0"/>
    <w:pPr>
      <w:keepNext/>
      <w:pageBreakBefore/>
      <w:widowControl/>
      <w:tabs>
        <w:tab w:val="left" w:pos="605"/>
        <w:tab w:val="left" w:pos="980"/>
      </w:tabs>
      <w:spacing w:beforeLines="50" w:afterLines="50"/>
      <w:ind w:left="980" w:hanging="420" w:firstLineChars="0"/>
      <w:jc w:val="center"/>
      <w:outlineLvl w:val="0"/>
    </w:pPr>
    <w:rPr>
      <w:rFonts w:ascii="Calibri" w:hAnsi="Calibri" w:eastAsia="黑体" w:cs="宋体"/>
      <w:b/>
      <w:bCs/>
      <w:kern w:val="44"/>
      <w:sz w:val="30"/>
      <w:lang w:eastAsia="en-US" w:bidi="en-US"/>
    </w:rPr>
  </w:style>
  <w:style w:type="paragraph" w:customStyle="1" w:styleId="277">
    <w:name w:val="样式 样式 样式 标题 2 + 段前: 0.5 行 段后: 0.5 行 + 段前: 0.5 行 段后: 0.5 行 +"/>
    <w:basedOn w:val="2"/>
    <w:next w:val="36"/>
    <w:autoRedefine/>
    <w:qFormat/>
    <w:uiPriority w:val="0"/>
    <w:pPr>
      <w:widowControl/>
      <w:tabs>
        <w:tab w:val="left" w:pos="862"/>
        <w:tab w:val="left" w:pos="1440"/>
      </w:tabs>
      <w:spacing w:beforeLines="100" w:after="0"/>
      <w:ind w:left="1440" w:hanging="360" w:firstLineChars="0"/>
      <w:jc w:val="left"/>
      <w:outlineLvl w:val="1"/>
    </w:pPr>
    <w:rPr>
      <w:rFonts w:ascii="Calibri" w:hAnsi="Calibri" w:eastAsia="黑体" w:cs="宋体"/>
      <w:b/>
      <w:bCs/>
      <w:sz w:val="28"/>
      <w:szCs w:val="28"/>
      <w:lang w:eastAsia="en-US" w:bidi="en-US"/>
    </w:rPr>
  </w:style>
  <w:style w:type="table" w:customStyle="1" w:styleId="278">
    <w:name w:val="Table Normal"/>
    <w:autoRedefine/>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279">
    <w:name w:val="样式2"/>
    <w:basedOn w:val="42"/>
    <w:autoRedefine/>
    <w:qFormat/>
    <w:uiPriority w:val="99"/>
    <w:rPr>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DAEEF3"/>
      <w:vAlign w:val="center"/>
    </w:tcPr>
    <w:tblStylePr w:type="firstRow">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FDE9D9"/>
      </w:tcPr>
    </w:tblStylePr>
  </w:style>
  <w:style w:type="table" w:customStyle="1" w:styleId="280">
    <w:name w:val="自定义"/>
    <w:basedOn w:val="42"/>
    <w:autoRedefine/>
    <w:qFormat/>
    <w:uiPriority w:val="99"/>
    <w:pPr>
      <w:spacing w:line="360" w:lineRule="auto"/>
    </w:pPr>
    <w:rPr>
      <w:sz w:val="24"/>
    </w:rPr>
    <w:tblPr>
      <w:jc w:val="center"/>
      <w:tblBorders>
        <w:top w:val="single" w:color="2E74B5" w:sz="12" w:space="0"/>
        <w:left w:val="single" w:color="2E74B5" w:sz="12" w:space="0"/>
        <w:bottom w:val="single" w:color="2E74B5" w:sz="12" w:space="0"/>
        <w:right w:val="single" w:color="2E74B5" w:sz="12" w:space="0"/>
        <w:insideH w:val="dashSmallGap" w:color="AEAAAA" w:sz="6" w:space="0"/>
        <w:insideV w:val="dashSmallGap" w:color="AEAAAA" w:sz="6" w:space="0"/>
      </w:tblBorders>
      <w:tblCellMar>
        <w:top w:w="0" w:type="dxa"/>
        <w:left w:w="108" w:type="dxa"/>
        <w:bottom w:w="0" w:type="dxa"/>
        <w:right w:w="108" w:type="dxa"/>
      </w:tblCellMar>
    </w:tblPr>
    <w:trPr>
      <w:jc w:val="center"/>
    </w:trPr>
    <w:tcPr>
      <w:shd w:val="clear" w:color="auto" w:fill="FFFFFF"/>
      <w:vAlign w:val="center"/>
    </w:tcPr>
    <w:tblStylePr w:type="firstRow">
      <w:tcPr>
        <w:tcBorders>
          <w:top w:val="single" w:color="2E74B5" w:sz="12" w:space="0"/>
          <w:left w:val="dashSmallGap" w:color="AEAAAA" w:sz="6" w:space="0"/>
          <w:bottom w:val="single" w:color="2E74B5" w:sz="12" w:space="0"/>
          <w:right w:val="single" w:color="2E74B5" w:sz="12" w:space="0"/>
          <w:insideH w:val="nil"/>
          <w:insideV w:val="dashSmallGap" w:sz="6" w:space="0"/>
          <w:tl2br w:val="nil"/>
          <w:tr2bl w:val="nil"/>
        </w:tcBorders>
        <w:shd w:val="clear" w:color="auto" w:fill="D9E2F3"/>
      </w:tcPr>
    </w:tblStylePr>
  </w:style>
  <w:style w:type="paragraph" w:customStyle="1" w:styleId="281">
    <w:name w:val="表内字体"/>
    <w:basedOn w:val="1"/>
    <w:autoRedefine/>
    <w:qFormat/>
    <w:uiPriority w:val="0"/>
    <w:pPr>
      <w:spacing w:line="240" w:lineRule="auto"/>
      <w:ind w:firstLine="0" w:firstLineChars="0"/>
      <w:jc w:val="center"/>
    </w:pPr>
  </w:style>
  <w:style w:type="table" w:customStyle="1" w:styleId="282">
    <w:name w:val="自定义1"/>
    <w:basedOn w:val="42"/>
    <w:autoRedefine/>
    <w:qFormat/>
    <w:uiPriority w:val="99"/>
    <w:pPr>
      <w:spacing w:line="360" w:lineRule="auto"/>
    </w:pPr>
    <w:rPr>
      <w:sz w:val="24"/>
    </w:rPr>
    <w:tblPr>
      <w:jc w:val="center"/>
      <w:tblBorders>
        <w:top w:val="single" w:color="2E74B5" w:sz="12" w:space="0"/>
        <w:left w:val="single" w:color="2E74B5" w:sz="12" w:space="0"/>
        <w:bottom w:val="single" w:color="2E74B5" w:sz="12" w:space="0"/>
        <w:right w:val="single" w:color="2E74B5" w:sz="12" w:space="0"/>
        <w:insideH w:val="dashSmallGap" w:color="AEAAAA" w:sz="6" w:space="0"/>
        <w:insideV w:val="dashSmallGap" w:color="AEAAAA" w:sz="6" w:space="0"/>
      </w:tblBorders>
      <w:tblCellMar>
        <w:top w:w="0" w:type="dxa"/>
        <w:left w:w="108" w:type="dxa"/>
        <w:bottom w:w="0" w:type="dxa"/>
        <w:right w:w="108" w:type="dxa"/>
      </w:tblCellMar>
    </w:tblPr>
    <w:trPr>
      <w:jc w:val="center"/>
    </w:trPr>
    <w:tcPr>
      <w:shd w:val="clear" w:color="auto" w:fill="FFFFFF"/>
      <w:vAlign w:val="center"/>
    </w:tcPr>
    <w:tblStylePr w:type="firstRow">
      <w:tcPr>
        <w:tcBorders>
          <w:top w:val="single" w:color="2E74B5" w:sz="12" w:space="0"/>
          <w:left w:val="dashSmallGap" w:color="AEAAAA" w:sz="6" w:space="0"/>
          <w:bottom w:val="single" w:color="2E74B5" w:sz="12" w:space="0"/>
          <w:right w:val="single" w:color="2E74B5" w:sz="12" w:space="0"/>
          <w:insideH w:val="nil"/>
          <w:insideV w:val="dashSmallGap" w:sz="6" w:space="0"/>
          <w:tl2br w:val="nil"/>
          <w:tr2bl w:val="nil"/>
        </w:tcBorders>
        <w:shd w:val="clear" w:color="auto" w:fill="D9E2F3"/>
      </w:tcPr>
    </w:tblStylePr>
  </w:style>
  <w:style w:type="character" w:customStyle="1" w:styleId="283">
    <w:name w:val="正文文本 2 Char1"/>
    <w:autoRedefine/>
    <w:semiHidden/>
    <w:qFormat/>
    <w:uiPriority w:val="99"/>
    <w:rPr>
      <w:kern w:val="2"/>
      <w:sz w:val="24"/>
      <w:szCs w:val="22"/>
    </w:rPr>
  </w:style>
  <w:style w:type="character" w:customStyle="1" w:styleId="284">
    <w:name w:val="正文文本缩进 3 Char1"/>
    <w:autoRedefine/>
    <w:semiHidden/>
    <w:qFormat/>
    <w:uiPriority w:val="99"/>
    <w:rPr>
      <w:kern w:val="2"/>
      <w:sz w:val="16"/>
      <w:szCs w:val="16"/>
    </w:rPr>
  </w:style>
  <w:style w:type="character" w:customStyle="1" w:styleId="285">
    <w:name w:val="脚注文本 Char1"/>
    <w:autoRedefine/>
    <w:semiHidden/>
    <w:qFormat/>
    <w:uiPriority w:val="99"/>
    <w:rPr>
      <w:kern w:val="2"/>
      <w:sz w:val="18"/>
      <w:szCs w:val="18"/>
    </w:rPr>
  </w:style>
  <w:style w:type="character" w:customStyle="1" w:styleId="286">
    <w:name w:val="纯文本 Char2"/>
    <w:autoRedefine/>
    <w:semiHidden/>
    <w:qFormat/>
    <w:uiPriority w:val="99"/>
    <w:rPr>
      <w:rFonts w:ascii="宋体" w:hAnsi="Courier New" w:cs="Courier New"/>
      <w:kern w:val="2"/>
      <w:sz w:val="21"/>
      <w:szCs w:val="21"/>
    </w:rPr>
  </w:style>
  <w:style w:type="character" w:customStyle="1" w:styleId="287">
    <w:name w:val="批注主题 Char1"/>
    <w:autoRedefine/>
    <w:semiHidden/>
    <w:qFormat/>
    <w:uiPriority w:val="99"/>
    <w:rPr>
      <w:b/>
      <w:bCs/>
      <w:kern w:val="2"/>
      <w:sz w:val="24"/>
      <w:szCs w:val="22"/>
    </w:rPr>
  </w:style>
  <w:style w:type="character" w:customStyle="1" w:styleId="288">
    <w:name w:val="日期 Char1"/>
    <w:autoRedefine/>
    <w:semiHidden/>
    <w:qFormat/>
    <w:uiPriority w:val="99"/>
    <w:rPr>
      <w:kern w:val="2"/>
      <w:sz w:val="24"/>
      <w:szCs w:val="22"/>
    </w:rPr>
  </w:style>
  <w:style w:type="character" w:customStyle="1" w:styleId="289">
    <w:name w:val="HTML 预设格式 Char1"/>
    <w:autoRedefine/>
    <w:semiHidden/>
    <w:qFormat/>
    <w:uiPriority w:val="99"/>
    <w:rPr>
      <w:rFonts w:ascii="Courier New" w:hAnsi="Courier New" w:cs="Courier New"/>
      <w:kern w:val="2"/>
    </w:rPr>
  </w:style>
  <w:style w:type="character" w:customStyle="1" w:styleId="290">
    <w:name w:val="页脚 Char2"/>
    <w:autoRedefine/>
    <w:semiHidden/>
    <w:qFormat/>
    <w:uiPriority w:val="99"/>
    <w:rPr>
      <w:kern w:val="2"/>
      <w:sz w:val="18"/>
      <w:szCs w:val="18"/>
    </w:rPr>
  </w:style>
  <w:style w:type="character" w:customStyle="1" w:styleId="291">
    <w:name w:val="页眉 Char2"/>
    <w:autoRedefine/>
    <w:semiHidden/>
    <w:qFormat/>
    <w:uiPriority w:val="99"/>
    <w:rPr>
      <w:kern w:val="2"/>
      <w:sz w:val="18"/>
      <w:szCs w:val="18"/>
    </w:rPr>
  </w:style>
  <w:style w:type="character" w:customStyle="1" w:styleId="292">
    <w:name w:val="正文文本缩进 Char1"/>
    <w:autoRedefine/>
    <w:semiHidden/>
    <w:qFormat/>
    <w:uiPriority w:val="99"/>
    <w:rPr>
      <w:kern w:val="2"/>
      <w:sz w:val="24"/>
      <w:szCs w:val="22"/>
    </w:rPr>
  </w:style>
  <w:style w:type="paragraph" w:customStyle="1" w:styleId="293">
    <w:name w:val="[基本段落]"/>
    <w:basedOn w:val="1"/>
    <w:autoRedefine/>
    <w:qFormat/>
    <w:uiPriority w:val="99"/>
    <w:pPr>
      <w:widowControl/>
      <w:autoSpaceDE w:val="0"/>
      <w:autoSpaceDN w:val="0"/>
      <w:adjustRightInd w:val="0"/>
      <w:spacing w:line="288" w:lineRule="auto"/>
      <w:ind w:firstLine="480"/>
      <w:jc w:val="left"/>
      <w:textAlignment w:val="center"/>
    </w:pPr>
    <w:rPr>
      <w:rFonts w:ascii="Adobe 宋体 Std L" w:eastAsia="Adobe 宋体 Std L" w:cs="Adobe 宋体 Std L"/>
      <w:color w:val="000000"/>
      <w:kern w:val="0"/>
      <w:szCs w:val="24"/>
      <w:lang w:val="zh-CN"/>
    </w:rPr>
  </w:style>
  <w:style w:type="table" w:customStyle="1" w:styleId="294">
    <w:name w:val="网格型21"/>
    <w:basedOn w:val="42"/>
    <w:autoRedefine/>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5">
    <w:name w:val="15"/>
    <w:autoRedefine/>
    <w:qFormat/>
    <w:uiPriority w:val="0"/>
    <w:rPr>
      <w:rFonts w:hint="default" w:ascii="Times New Roman" w:hAnsi="Times New Roman" w:cs="Times New Roman"/>
      <w:sz w:val="21"/>
      <w:szCs w:val="21"/>
    </w:rPr>
  </w:style>
  <w:style w:type="paragraph" w:customStyle="1" w:styleId="296">
    <w:name w:val="正文首行缩进1"/>
    <w:basedOn w:val="2"/>
    <w:autoRedefine/>
    <w:qFormat/>
    <w:uiPriority w:val="99"/>
    <w:pPr>
      <w:ind w:firstLine="420" w:firstLineChars="100"/>
      <w:jc w:val="left"/>
    </w:pPr>
    <w:rPr>
      <w:rFonts w:ascii="Times New Roman" w:hAnsi="Times New Roman" w:eastAsia="黑体"/>
      <w:sz w:val="21"/>
      <w:szCs w:val="24"/>
    </w:rPr>
  </w:style>
  <w:style w:type="table" w:customStyle="1" w:styleId="297">
    <w:name w:val="表头及底线粗，内线细，无两侧边框"/>
    <w:basedOn w:val="42"/>
    <w:autoRedefine/>
    <w:qFormat/>
    <w:uiPriority w:val="99"/>
    <w:rPr>
      <w:rFonts w:ascii="Calibri" w:hAnsi="Calibri"/>
      <w:kern w:val="2"/>
      <w:sz w:val="21"/>
      <w:szCs w:val="22"/>
    </w:rPr>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nil"/>
          <w:bottom w:val="single" w:color="auto" w:sz="14" w:space="0"/>
          <w:right w:val="nil"/>
          <w:insideH w:val="nil"/>
          <w:insideV w:val="nil"/>
          <w:tl2br w:val="nil"/>
          <w:tr2bl w:val="nil"/>
        </w:tcBorders>
      </w:tcPr>
    </w:tblStylePr>
  </w:style>
  <w:style w:type="paragraph" w:customStyle="1" w:styleId="298">
    <w:name w:val="样式 红色 首行缩进:  2 字符"/>
    <w:basedOn w:val="1"/>
    <w:autoRedefine/>
    <w:qFormat/>
    <w:uiPriority w:val="0"/>
    <w:pPr>
      <w:ind w:firstLine="560"/>
    </w:pPr>
    <w:rPr>
      <w:rFonts w:cs="宋体"/>
      <w:color w:val="FF0000"/>
      <w:kern w:val="1"/>
      <w:szCs w:val="20"/>
    </w:rPr>
  </w:style>
  <w:style w:type="paragraph" w:customStyle="1" w:styleId="299">
    <w:name w:val="_Style 296"/>
    <w:autoRedefine/>
    <w:unhideWhenUsed/>
    <w:qFormat/>
    <w:uiPriority w:val="99"/>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300">
    <w:name w:val="msonormal"/>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301">
    <w:name w:val="font5"/>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302">
    <w:name w:val="xl66"/>
    <w:basedOn w:val="1"/>
    <w:autoRedefine/>
    <w:qFormat/>
    <w:uiPriority w:val="0"/>
    <w:pPr>
      <w:widowControl/>
      <w:spacing w:before="100" w:beforeAutospacing="1" w:after="100" w:afterAutospacing="1" w:line="240" w:lineRule="auto"/>
      <w:ind w:firstLine="0" w:firstLineChars="0"/>
      <w:jc w:val="left"/>
    </w:pPr>
    <w:rPr>
      <w:rFonts w:ascii="宋体" w:hAnsi="宋体" w:cs="宋体"/>
      <w:color w:val="FF0000"/>
      <w:kern w:val="0"/>
      <w:szCs w:val="24"/>
    </w:rPr>
  </w:style>
  <w:style w:type="paragraph" w:customStyle="1" w:styleId="303">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0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05">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06">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07">
    <w:name w:val="xl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08">
    <w:name w:val="xl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09">
    <w:name w:val="xl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1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11">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12">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3">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1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6">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7">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18">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000000"/>
      <w:kern w:val="0"/>
      <w:szCs w:val="24"/>
    </w:rPr>
  </w:style>
  <w:style w:type="paragraph" w:customStyle="1" w:styleId="31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0">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21">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2">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3">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4">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color w:val="FF0000"/>
      <w:kern w:val="0"/>
      <w:szCs w:val="24"/>
    </w:rPr>
  </w:style>
  <w:style w:type="paragraph" w:customStyle="1" w:styleId="325">
    <w:name w:val="xl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6">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7">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8">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29">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30">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31">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character" w:customStyle="1" w:styleId="332">
    <w:name w:val="正文文本 字符3"/>
    <w:autoRedefine/>
    <w:qFormat/>
    <w:uiPriority w:val="99"/>
    <w:rPr>
      <w:rFonts w:ascii="宋体" w:hAnsi="宋体"/>
      <w:sz w:val="24"/>
    </w:rPr>
  </w:style>
  <w:style w:type="character" w:customStyle="1" w:styleId="333">
    <w:name w:val="正文文本首行缩进 字符1"/>
    <w:autoRedefine/>
    <w:qFormat/>
    <w:uiPriority w:val="99"/>
    <w:rPr>
      <w:rFonts w:eastAsia="黑体"/>
      <w:sz w:val="21"/>
      <w:szCs w:val="24"/>
    </w:rPr>
  </w:style>
  <w:style w:type="character" w:customStyle="1" w:styleId="334">
    <w:name w:val="标题 1 字符2"/>
    <w:autoRedefine/>
    <w:qFormat/>
    <w:uiPriority w:val="9"/>
    <w:rPr>
      <w:b/>
      <w:bCs/>
      <w:kern w:val="44"/>
      <w:sz w:val="44"/>
      <w:szCs w:val="44"/>
    </w:rPr>
  </w:style>
  <w:style w:type="character" w:customStyle="1" w:styleId="335">
    <w:name w:val="标题 2 字符2"/>
    <w:autoRedefine/>
    <w:semiHidden/>
    <w:qFormat/>
    <w:uiPriority w:val="9"/>
    <w:rPr>
      <w:rFonts w:ascii="等线 Light" w:hAnsi="等线 Light" w:eastAsia="等线 Light" w:cs="Times New Roman"/>
      <w:b/>
      <w:bCs/>
      <w:sz w:val="32"/>
      <w:szCs w:val="32"/>
    </w:rPr>
  </w:style>
  <w:style w:type="character" w:customStyle="1" w:styleId="336">
    <w:name w:val="标题 3 字符2"/>
    <w:autoRedefine/>
    <w:semiHidden/>
    <w:qFormat/>
    <w:uiPriority w:val="9"/>
    <w:rPr>
      <w:rFonts w:ascii="Times New Roman" w:hAnsi="Times New Roman" w:eastAsia="宋体"/>
      <w:b/>
      <w:bCs/>
      <w:sz w:val="32"/>
      <w:szCs w:val="32"/>
    </w:rPr>
  </w:style>
  <w:style w:type="character" w:customStyle="1" w:styleId="337">
    <w:name w:val="标题 4 字符2"/>
    <w:autoRedefine/>
    <w:qFormat/>
    <w:uiPriority w:val="9"/>
    <w:rPr>
      <w:rFonts w:ascii="等线 Light" w:hAnsi="等线 Light" w:eastAsia="等线 Light" w:cs="Times New Roman"/>
      <w:b/>
      <w:bCs/>
      <w:sz w:val="28"/>
      <w:szCs w:val="28"/>
    </w:rPr>
  </w:style>
  <w:style w:type="character" w:customStyle="1" w:styleId="338">
    <w:name w:val="标题 5 字符2"/>
    <w:autoRedefine/>
    <w:qFormat/>
    <w:uiPriority w:val="9"/>
    <w:rPr>
      <w:rFonts w:ascii="Times New Roman" w:hAnsi="Times New Roman" w:eastAsia="宋体"/>
      <w:b/>
      <w:bCs/>
      <w:sz w:val="28"/>
      <w:szCs w:val="28"/>
    </w:rPr>
  </w:style>
  <w:style w:type="character" w:customStyle="1" w:styleId="339">
    <w:name w:val="标题 6 字符2"/>
    <w:autoRedefine/>
    <w:qFormat/>
    <w:uiPriority w:val="9"/>
    <w:rPr>
      <w:rFonts w:ascii="等线 Light" w:hAnsi="等线 Light" w:eastAsia="等线 Light" w:cs="Times New Roman"/>
      <w:b/>
      <w:bCs/>
      <w:sz w:val="24"/>
      <w:szCs w:val="24"/>
    </w:rPr>
  </w:style>
  <w:style w:type="character" w:customStyle="1" w:styleId="340">
    <w:name w:val="标题 7 字符2"/>
    <w:autoRedefine/>
    <w:qFormat/>
    <w:uiPriority w:val="9"/>
    <w:rPr>
      <w:rFonts w:ascii="Times New Roman" w:hAnsi="Times New Roman" w:eastAsia="宋体"/>
      <w:b/>
      <w:bCs/>
      <w:sz w:val="24"/>
      <w:szCs w:val="24"/>
    </w:rPr>
  </w:style>
  <w:style w:type="character" w:customStyle="1" w:styleId="341">
    <w:name w:val="标题 8 字符2"/>
    <w:autoRedefine/>
    <w:qFormat/>
    <w:uiPriority w:val="9"/>
    <w:rPr>
      <w:rFonts w:ascii="等线 Light" w:hAnsi="等线 Light" w:eastAsia="等线 Light" w:cs="Times New Roman"/>
      <w:sz w:val="24"/>
      <w:szCs w:val="24"/>
    </w:rPr>
  </w:style>
  <w:style w:type="character" w:customStyle="1" w:styleId="342">
    <w:name w:val="标题 9 字符2"/>
    <w:autoRedefine/>
    <w:qFormat/>
    <w:uiPriority w:val="9"/>
    <w:rPr>
      <w:rFonts w:ascii="等线 Light" w:hAnsi="等线 Light" w:eastAsia="等线 Light"/>
      <w:kern w:val="2"/>
      <w:sz w:val="21"/>
      <w:szCs w:val="21"/>
    </w:rPr>
  </w:style>
  <w:style w:type="character" w:customStyle="1" w:styleId="343">
    <w:name w:val="正文缩进 字符"/>
    <w:autoRedefine/>
    <w:qFormat/>
    <w:uiPriority w:val="99"/>
    <w:rPr>
      <w:rFonts w:ascii="Times New Roman" w:hAnsi="Times New Roman" w:eastAsia="宋体"/>
      <w:kern w:val="2"/>
      <w:sz w:val="24"/>
      <w:szCs w:val="22"/>
    </w:rPr>
  </w:style>
  <w:style w:type="character" w:customStyle="1" w:styleId="344">
    <w:name w:val="文档结构图 字符2"/>
    <w:autoRedefine/>
    <w:qFormat/>
    <w:uiPriority w:val="99"/>
    <w:rPr>
      <w:rFonts w:ascii="宋体"/>
      <w:sz w:val="18"/>
      <w:szCs w:val="18"/>
    </w:rPr>
  </w:style>
  <w:style w:type="character" w:customStyle="1" w:styleId="345">
    <w:name w:val="批注文字 字符2"/>
    <w:autoRedefine/>
    <w:qFormat/>
    <w:uiPriority w:val="99"/>
    <w:rPr>
      <w:rFonts w:ascii="Times New Roman" w:hAnsi="Times New Roman" w:eastAsia="宋体"/>
      <w:sz w:val="28"/>
    </w:rPr>
  </w:style>
  <w:style w:type="character" w:customStyle="1" w:styleId="346">
    <w:name w:val="正文文本缩进 字符2"/>
    <w:autoRedefine/>
    <w:qFormat/>
    <w:uiPriority w:val="0"/>
    <w:rPr>
      <w:rFonts w:ascii="Times New Roman" w:hAnsi="Times New Roman"/>
      <w:sz w:val="28"/>
      <w:szCs w:val="24"/>
    </w:rPr>
  </w:style>
  <w:style w:type="character" w:customStyle="1" w:styleId="347">
    <w:name w:val="纯文本 字符1"/>
    <w:autoRedefine/>
    <w:qFormat/>
    <w:locked/>
    <w:uiPriority w:val="0"/>
    <w:rPr>
      <w:rFonts w:ascii="宋体" w:hAnsi="Courier New"/>
    </w:rPr>
  </w:style>
  <w:style w:type="character" w:customStyle="1" w:styleId="348">
    <w:name w:val="日期 字符2"/>
    <w:autoRedefine/>
    <w:qFormat/>
    <w:uiPriority w:val="0"/>
    <w:rPr>
      <w:sz w:val="28"/>
    </w:rPr>
  </w:style>
  <w:style w:type="character" w:customStyle="1" w:styleId="349">
    <w:name w:val="批注框文本 字符1"/>
    <w:autoRedefine/>
    <w:semiHidden/>
    <w:qFormat/>
    <w:uiPriority w:val="99"/>
    <w:rPr>
      <w:rFonts w:ascii="Times New Roman" w:hAnsi="Times New Roman" w:eastAsia="宋体"/>
      <w:sz w:val="18"/>
      <w:szCs w:val="18"/>
    </w:rPr>
  </w:style>
  <w:style w:type="character" w:customStyle="1" w:styleId="350">
    <w:name w:val="页脚 字符1"/>
    <w:autoRedefine/>
    <w:qFormat/>
    <w:uiPriority w:val="99"/>
    <w:rPr>
      <w:rFonts w:ascii="Times New Roman" w:hAnsi="Times New Roman" w:eastAsia="宋体"/>
      <w:sz w:val="18"/>
      <w:szCs w:val="18"/>
    </w:rPr>
  </w:style>
  <w:style w:type="character" w:customStyle="1" w:styleId="351">
    <w:name w:val="页眉 字符1"/>
    <w:autoRedefine/>
    <w:qFormat/>
    <w:uiPriority w:val="99"/>
    <w:rPr>
      <w:rFonts w:ascii="Times New Roman" w:hAnsi="Times New Roman" w:eastAsia="宋体"/>
      <w:sz w:val="18"/>
      <w:szCs w:val="18"/>
    </w:rPr>
  </w:style>
  <w:style w:type="character" w:customStyle="1" w:styleId="352">
    <w:name w:val="脚注文本 字符2"/>
    <w:autoRedefine/>
    <w:qFormat/>
    <w:uiPriority w:val="99"/>
    <w:rPr>
      <w:rFonts w:ascii="宋体" w:hAnsi="宋体"/>
      <w:sz w:val="18"/>
      <w:szCs w:val="18"/>
    </w:rPr>
  </w:style>
  <w:style w:type="character" w:customStyle="1" w:styleId="353">
    <w:name w:val="正文文本缩进 3 字符1"/>
    <w:autoRedefine/>
    <w:qFormat/>
    <w:uiPriority w:val="0"/>
    <w:rPr>
      <w:rFonts w:ascii="宋体" w:hAnsi="Times New Roman" w:eastAsia="宋体"/>
      <w:kern w:val="2"/>
      <w:sz w:val="28"/>
      <w:szCs w:val="22"/>
    </w:rPr>
  </w:style>
  <w:style w:type="character" w:customStyle="1" w:styleId="354">
    <w:name w:val="正文文本 2 字符1"/>
    <w:autoRedefine/>
    <w:qFormat/>
    <w:uiPriority w:val="99"/>
    <w:rPr>
      <w:rFonts w:ascii="Times New Roman" w:hAnsi="Times New Roman" w:eastAsia="宋体"/>
      <w:kern w:val="2"/>
      <w:sz w:val="24"/>
      <w:szCs w:val="22"/>
    </w:rPr>
  </w:style>
  <w:style w:type="character" w:customStyle="1" w:styleId="355">
    <w:name w:val="HTML 预设格式 字符1"/>
    <w:autoRedefine/>
    <w:qFormat/>
    <w:uiPriority w:val="0"/>
    <w:rPr>
      <w:rFonts w:ascii="宋体" w:hAnsi="宋体" w:eastAsia="宋体"/>
      <w:sz w:val="24"/>
      <w:szCs w:val="24"/>
    </w:rPr>
  </w:style>
  <w:style w:type="character" w:customStyle="1" w:styleId="356">
    <w:name w:val="普通(网站) 字符"/>
    <w:autoRedefine/>
    <w:qFormat/>
    <w:uiPriority w:val="99"/>
    <w:rPr>
      <w:rFonts w:ascii="宋体" w:hAnsi="宋体" w:cs="宋体"/>
      <w:sz w:val="24"/>
      <w:szCs w:val="24"/>
    </w:rPr>
  </w:style>
  <w:style w:type="character" w:customStyle="1" w:styleId="357">
    <w:name w:val="批注主题 字符2"/>
    <w:autoRedefine/>
    <w:qFormat/>
    <w:uiPriority w:val="99"/>
    <w:rPr>
      <w:rFonts w:ascii="宋体" w:hAnsi="宋体"/>
      <w:b/>
      <w:bCs/>
      <w:sz w:val="28"/>
    </w:rPr>
  </w:style>
  <w:style w:type="character" w:customStyle="1" w:styleId="358">
    <w:name w:val="列表段落 字符1"/>
    <w:autoRedefine/>
    <w:qFormat/>
    <w:uiPriority w:val="34"/>
    <w:rPr>
      <w:sz w:val="28"/>
    </w:rPr>
  </w:style>
  <w:style w:type="character" w:customStyle="1" w:styleId="359">
    <w:name w:val="引用 字符"/>
    <w:autoRedefine/>
    <w:qFormat/>
    <w:uiPriority w:val="99"/>
    <w:rPr>
      <w:i/>
      <w:iCs/>
      <w:color w:val="000000"/>
      <w:kern w:val="2"/>
      <w:sz w:val="24"/>
      <w:szCs w:val="22"/>
    </w:rPr>
  </w:style>
  <w:style w:type="character" w:customStyle="1" w:styleId="360">
    <w:name w:val="标题 字符"/>
    <w:autoRedefine/>
    <w:qFormat/>
    <w:uiPriority w:val="0"/>
    <w:rPr>
      <w:rFonts w:ascii="等线 Light" w:hAnsi="等线 Light"/>
      <w:b/>
      <w:bCs/>
      <w:kern w:val="2"/>
      <w:sz w:val="28"/>
      <w:szCs w:val="32"/>
    </w:rPr>
  </w:style>
  <w:style w:type="paragraph" w:customStyle="1" w:styleId="361">
    <w:name w:val="xl64"/>
    <w:basedOn w:val="1"/>
    <w:autoRedefine/>
    <w:qFormat/>
    <w:uiPriority w:val="0"/>
    <w:pPr>
      <w:widowControl/>
      <w:spacing w:before="100" w:beforeAutospacing="1" w:after="100" w:afterAutospacing="1" w:line="240" w:lineRule="auto"/>
      <w:ind w:firstLine="0" w:firstLineChars="0"/>
      <w:jc w:val="left"/>
    </w:pPr>
    <w:rPr>
      <w:rFonts w:ascii="宋体" w:hAnsi="宋体" w:cs="宋体"/>
      <w:color w:val="FF0000"/>
      <w:kern w:val="0"/>
      <w:szCs w:val="24"/>
    </w:rPr>
  </w:style>
  <w:style w:type="paragraph" w:customStyle="1" w:styleId="362">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63">
    <w:name w:val="修订1"/>
    <w:autoRedefine/>
    <w:hidden/>
    <w:unhideWhenUsed/>
    <w:qFormat/>
    <w:uiPriority w:val="99"/>
    <w:rPr>
      <w:rFonts w:ascii="Times New Roman" w:hAnsi="Times New Roman" w:eastAsia="宋体" w:cs="Times New Roman"/>
      <w:kern w:val="2"/>
      <w:sz w:val="24"/>
      <w:szCs w:val="22"/>
      <w:lang w:val="en-US" w:eastAsia="zh-CN" w:bidi="ar-SA"/>
    </w:rPr>
  </w:style>
  <w:style w:type="character" w:customStyle="1" w:styleId="364">
    <w:name w:val="表格 Char"/>
    <w:link w:val="271"/>
    <w:autoRedefine/>
    <w:qFormat/>
    <w:locked/>
    <w:uiPriority w:val="0"/>
    <w:rPr>
      <w:rFonts w:ascii="Arial" w:hAnsi="Arial"/>
      <w:kern w:val="2"/>
      <w:sz w:val="24"/>
      <w:szCs w:val="22"/>
    </w:rPr>
  </w:style>
  <w:style w:type="table" w:customStyle="1" w:styleId="365">
    <w:name w:val="Table Grid_0"/>
    <w:basedOn w:val="42"/>
    <w:autoRedefine/>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366">
    <w:name w:val="A表格文字"/>
    <w:basedOn w:val="1"/>
    <w:autoRedefine/>
    <w:qFormat/>
    <w:uiPriority w:val="0"/>
    <w:pPr>
      <w:widowControl/>
      <w:spacing w:line="240" w:lineRule="auto"/>
      <w:ind w:firstLine="0" w:firstLineChars="0"/>
      <w:jc w:val="left"/>
    </w:pPr>
    <w:rPr>
      <w:rFonts w:ascii="Calibri" w:hAnsi="Calibri"/>
      <w:szCs w:val="28"/>
    </w:rPr>
  </w:style>
  <w:style w:type="paragraph" w:customStyle="1" w:styleId="367">
    <w:name w:val="列表段落1"/>
    <w:basedOn w:val="1"/>
    <w:autoRedefine/>
    <w:qFormat/>
    <w:uiPriority w:val="0"/>
    <w:pPr>
      <w:autoSpaceDE w:val="0"/>
      <w:autoSpaceDN w:val="0"/>
      <w:spacing w:before="41" w:line="240" w:lineRule="auto"/>
      <w:ind w:left="1160" w:hanging="421" w:firstLineChars="0"/>
      <w:jc w:val="left"/>
    </w:pPr>
    <w:rPr>
      <w:rFonts w:ascii="宋体" w:hAnsi="宋体" w:cs="宋体"/>
      <w:kern w:val="0"/>
      <w:lang w:val="zh-CN" w:bidi="zh-CN"/>
    </w:rPr>
  </w:style>
  <w:style w:type="character" w:customStyle="1" w:styleId="368">
    <w:name w:val="正文首行缩进 2 Char"/>
    <w:basedOn w:val="63"/>
    <w:link w:val="41"/>
    <w:autoRedefine/>
    <w:semiHidden/>
    <w:qFormat/>
    <w:uiPriority w:val="99"/>
    <w:rPr>
      <w:kern w:val="2"/>
      <w:sz w:val="24"/>
      <w:szCs w:val="22"/>
    </w:rPr>
  </w:style>
  <w:style w:type="paragraph" w:customStyle="1" w:styleId="369">
    <w:name w:val="Table Text"/>
    <w:basedOn w:val="1"/>
    <w:autoRedefine/>
    <w:semiHidden/>
    <w:qFormat/>
    <w:uiPriority w:val="0"/>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14201</Words>
  <Characters>16030</Characters>
  <Lines>216</Lines>
  <Paragraphs>61</Paragraphs>
  <TotalTime>152</TotalTime>
  <ScaleCrop>false</ScaleCrop>
  <LinksUpToDate>false</LinksUpToDate>
  <CharactersWithSpaces>16095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2026-04-03T05:18:00Z</dcterms:created>
  <dc:creator>娴</dc:creator>
  <cp:lastModifiedBy>右边</cp:lastModifiedBy>
  <cp:lastPrinted>2026-04-16T12:30:13Z</cp:lastPrinted>
  <dcterms:modified xsi:type="dcterms:W3CDTF">2026-04-16T12:32:13Z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7AF0E7D2A81B41159EFE1AA06E12AE33_13</vt:lpwstr>
  </property>
  <property fmtid="{D5CDD505-2E9C-101B-9397-08002B2CF9AE}" pid="4" name="KSOTemplateDocerSaveRecord">
    <vt:lpwstr>eyJoZGlkIjoiMjRiODQzNzk5OTIzZmEzYmQ5M2M5MzQ4MzU0ODQ1ZmIiLCJ1c2VySWQiOiIzMDIyNTk2MjcifQ==</vt:lpwstr>
  </property>
</Properties>
</file>